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81280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7" w:lineRule="exact"/>
        <w:rPr>
          <w:sz w:val="24"/>
          <w:szCs w:val="24"/>
          <w:color w:val="auto"/>
        </w:rPr>
      </w:pPr>
    </w:p>
    <w:p>
      <w:pPr>
        <w:jc w:val="center"/>
        <w:ind w:left="5400" w:right="160" w:hanging="5163"/>
        <w:spacing w:after="0" w:line="268" w:lineRule="auto"/>
        <w:tabs>
          <w:tab w:leader="none" w:pos="51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2026</w:t>
      </w:r>
    </w:p>
    <w:p>
      <w:pPr>
        <w:spacing w:after="0" w:line="98" w:lineRule="exact"/>
        <w:rPr>
          <w:sz w:val="24"/>
          <w:szCs w:val="24"/>
          <w:color w:val="auto"/>
        </w:rPr>
      </w:pPr>
    </w:p>
    <w:p>
      <w:pPr>
        <w:jc w:val="center"/>
        <w:ind w:left="5400" w:right="140" w:hanging="5200"/>
        <w:spacing w:after="0" w:line="275" w:lineRule="auto"/>
        <w:tabs>
          <w:tab w:leader="none" w:pos="532"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8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LOUISIANA-PACIFIC CORPORATION</w:t>
      </w:r>
    </w:p>
    <w:p>
      <w:pPr>
        <w:spacing w:after="0" w:line="4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60960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96" w:lineRule="exact"/>
        <w:rPr>
          <w:sz w:val="24"/>
          <w:szCs w:val="24"/>
          <w:color w:val="auto"/>
        </w:rPr>
      </w:pPr>
    </w:p>
    <w:tbl>
      <w:tblPr>
        <w:tblLayout w:type="fixed"/>
        <w:tblInd w:w="90" w:type="dxa"/>
        <w:tblCellMar>
          <w:top w:w="0" w:type="dxa"/>
          <w:left w:w="0" w:type="dxa"/>
          <w:bottom w:w="0" w:type="dxa"/>
          <w:right w:w="0" w:type="dxa"/>
        </w:tblCellMar>
      </w:tblPr>
      <w:tr>
        <w:trPr>
          <w:trHeight w:val="238"/>
        </w:trPr>
        <w:tc>
          <w:tcPr>
            <w:tcW w:w="3180" w:type="dxa"/>
            <w:vAlign w:val="bottom"/>
          </w:tcPr>
          <w:p>
            <w:pPr>
              <w:jc w:val="center"/>
              <w:ind w:left="23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10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93-0609074</w:t>
            </w:r>
          </w:p>
        </w:tc>
      </w:tr>
      <w:tr>
        <w:trPr>
          <w:trHeight w:val="205"/>
        </w:trPr>
        <w:tc>
          <w:tcPr>
            <w:tcW w:w="3180" w:type="dxa"/>
            <w:vAlign w:val="bottom"/>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80" w:type="dxa"/>
            <w:vAlign w:val="bottom"/>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0"/>
        </w:trPr>
        <w:tc>
          <w:tcPr>
            <w:tcW w:w="3180" w:type="dxa"/>
            <w:vAlign w:val="bottom"/>
          </w:tcPr>
          <w:p>
            <w:pPr>
              <w:jc w:val="center"/>
              <w:ind w:left="237"/>
              <w:spacing w:after="0"/>
              <w:rPr>
                <w:sz w:val="20"/>
                <w:szCs w:val="20"/>
                <w:color w:val="auto"/>
              </w:rPr>
            </w:pPr>
            <w:r>
              <w:rPr>
                <w:rFonts w:ascii="Times New Roman" w:cs="Times New Roman" w:eastAsia="Times New Roman" w:hAnsi="Times New Roman"/>
                <w:sz w:val="18"/>
                <w:szCs w:val="18"/>
                <w:b w:val="1"/>
                <w:bCs w:val="1"/>
                <w:color w:val="auto"/>
                <w:w w:val="98"/>
              </w:rPr>
              <w:t>1610 West End Avenue Suite 200</w:t>
            </w:r>
          </w:p>
        </w:tc>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59"/>
        </w:trPr>
        <w:tc>
          <w:tcPr>
            <w:tcW w:w="3180" w:type="dxa"/>
            <w:vAlign w:val="bottom"/>
          </w:tcPr>
          <w:p>
            <w:pPr>
              <w:jc w:val="center"/>
              <w:ind w:left="237"/>
              <w:spacing w:after="0"/>
              <w:rPr>
                <w:sz w:val="20"/>
                <w:szCs w:val="20"/>
                <w:color w:val="auto"/>
              </w:rPr>
            </w:pPr>
            <w:r>
              <w:rPr>
                <w:rFonts w:ascii="Times New Roman" w:cs="Times New Roman" w:eastAsia="Times New Roman" w:hAnsi="Times New Roman"/>
                <w:sz w:val="18"/>
                <w:szCs w:val="18"/>
                <w:b w:val="1"/>
                <w:bCs w:val="1"/>
                <w:color w:val="auto"/>
                <w:w w:val="99"/>
              </w:rPr>
              <w:t>Nashville TN 37203</w:t>
            </w:r>
          </w:p>
        </w:tc>
        <w:tc>
          <w:tcPr>
            <w:tcW w:w="3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100" w:type="dxa"/>
            <w:vAlign w:val="bottom"/>
          </w:tcPr>
          <w:p>
            <w:pPr>
              <w:jc w:val="right"/>
              <w:ind w:right="1359"/>
              <w:spacing w:after="0"/>
              <w:rPr>
                <w:sz w:val="20"/>
                <w:szCs w:val="20"/>
                <w:color w:val="auto"/>
              </w:rPr>
            </w:pPr>
            <w:r>
              <w:rPr>
                <w:rFonts w:ascii="Times New Roman" w:cs="Times New Roman" w:eastAsia="Times New Roman" w:hAnsi="Times New Roman"/>
                <w:sz w:val="18"/>
                <w:szCs w:val="18"/>
                <w:b w:val="1"/>
                <w:bCs w:val="1"/>
                <w:color w:val="auto"/>
              </w:rPr>
              <w:t>(615) 986 - 5600</w:t>
            </w:r>
          </w:p>
        </w:tc>
      </w:tr>
      <w:tr>
        <w:trPr>
          <w:trHeight w:val="175"/>
        </w:trPr>
        <w:tc>
          <w:tcPr>
            <w:tcW w:w="3180" w:type="dxa"/>
            <w:vAlign w:val="bottom"/>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r>
      <w:tr>
        <w:trPr>
          <w:trHeight w:val="190"/>
        </w:trPr>
        <w:tc>
          <w:tcPr>
            <w:tcW w:w="3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including area code)</w:t>
            </w:r>
          </w:p>
        </w:tc>
      </w:tr>
      <w:tr>
        <w:trPr>
          <w:trHeight w:val="618"/>
        </w:trPr>
        <w:tc>
          <w:tcPr>
            <w:tcW w:w="3180" w:type="dxa"/>
            <w:vAlign w:val="bottom"/>
          </w:tcPr>
          <w:p>
            <w:pPr>
              <w:spacing w:after="0"/>
              <w:rPr>
                <w:sz w:val="24"/>
                <w:szCs w:val="24"/>
                <w:color w:val="auto"/>
              </w:rPr>
            </w:pPr>
          </w:p>
        </w:tc>
        <w:tc>
          <w:tcPr>
            <w:tcW w:w="79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81"/>
        </w:trPr>
        <w:tc>
          <w:tcPr>
            <w:tcW w:w="3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4100" w:type="dxa"/>
            <w:vAlign w:val="bottom"/>
            <w:tcBorders>
              <w:bottom w:val="single" w:sz="8" w:color="auto"/>
            </w:tcBorders>
          </w:tcPr>
          <w:p>
            <w:pPr>
              <w:spacing w:after="0"/>
              <w:rPr>
                <w:sz w:val="7"/>
                <w:szCs w:val="7"/>
                <w:color w:val="auto"/>
              </w:rPr>
            </w:pPr>
          </w:p>
        </w:tc>
      </w:tr>
      <w:tr>
        <w:trPr>
          <w:trHeight w:val="223"/>
        </w:trPr>
        <w:tc>
          <w:tcPr>
            <w:tcW w:w="3180" w:type="dxa"/>
            <w:vAlign w:val="bottom"/>
            <w:tcBorders>
              <w:left w:val="single" w:sz="8" w:color="auto"/>
              <w:bottom w:val="single" w:sz="8" w:color="auto"/>
            </w:tcBorders>
          </w:tcPr>
          <w:p>
            <w:pPr>
              <w:jc w:val="center"/>
              <w:ind w:left="237"/>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180" w:type="dxa"/>
            <w:vAlign w:val="bottom"/>
            <w:tcBorders>
              <w:left w:val="single" w:sz="8" w:color="auto"/>
              <w:bottom w:val="single" w:sz="8" w:color="auto"/>
            </w:tcBorders>
          </w:tcPr>
          <w:p>
            <w:pPr>
              <w:jc w:val="center"/>
              <w:ind w:left="237"/>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34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LPX</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-1619250</wp:posOffset>
            </wp:positionV>
            <wp:extent cx="822960" cy="694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694055"/>
                    </a:xfrm>
                    <a:prstGeom prst="rect">
                      <a:avLst/>
                    </a:prstGeom>
                    <a:noFill/>
                  </pic:spPr>
                </pic:pic>
              </a:graphicData>
            </a:graphic>
          </wp:anchor>
        </w:drawing>
      </w:r>
    </w:p>
    <w:p>
      <w:pPr>
        <w:spacing w:after="0" w:line="97"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660"/>
              <w:spacing w:after="0" w:line="189" w:lineRule="exact"/>
              <w:rPr>
                <w:sz w:val="20"/>
                <w:szCs w:val="20"/>
                <w:color w:val="auto"/>
              </w:rPr>
            </w:pPr>
            <w:r>
              <w:rPr>
                <w:rFonts w:ascii="Wingdings" w:cs="Wingdings" w:eastAsia="Wingdings" w:hAnsi="Wingdings"/>
                <w:sz w:val="18"/>
                <w:szCs w:val="18"/>
                <w:b w:val="1"/>
                <w:bCs w:val="1"/>
                <w:color w:val="auto"/>
              </w:rPr>
              <w:t>x</w:t>
            </w:r>
          </w:p>
        </w:tc>
        <w:tc>
          <w:tcPr>
            <w:tcW w:w="4100" w:type="dxa"/>
            <w:vAlign w:val="bottom"/>
          </w:tcPr>
          <w:p>
            <w:pPr>
              <w:ind w:left="15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9" w:lineRule="exact"/>
              <w:rPr>
                <w:sz w:val="20"/>
                <w:szCs w:val="20"/>
                <w:color w:val="auto"/>
              </w:rPr>
            </w:pPr>
            <w:r>
              <w:rPr>
                <w:rFonts w:ascii="Wingdings" w:cs="Wingdings" w:eastAsia="Wingdings" w:hAnsi="Wingdings"/>
                <w:sz w:val="18"/>
                <w:szCs w:val="18"/>
                <w:b w:val="1"/>
                <w:bCs w:val="1"/>
                <w:color w:val="auto"/>
                <w:w w:val="86"/>
              </w:rPr>
              <w:t>o</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02"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69,927,181 shares of common stock, $1 par value per share, outstanding as of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20"/>
          </w:cols>
          <w:pgMar w:left="320" w:top="1064" w:right="559" w:bottom="1440" w:gutter="0" w:footer="0" w:header="0"/>
        </w:sectPr>
      </w:pPr>
    </w:p>
    <w:bookmarkStart w:id="2" w:name="page3"/>
    <w:bookmarkEnd w:id="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27A of the Securities Act of 1933, as amended (the Securities Act),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quarterly report on Form 10-Q contains, and other reports and documents we file with, or furnish to, the Securities and Exchange Commission (SEC) may contain, forward-looking statements. These statements are based upon the beliefs and assumptions of, and on information currently available to, our management.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statements are or may constitute forward-looking statements: statements preceded by, followed by or that include words like “may,” “will,” “could,” “should,” “believe,” “expect,” “anticipate,” “assume,” “intend,” “plan,” “seek,” “estimate,” “project,” “target,” “potential,” “continue,” “likely,” or “future,” as well as similar expressions, or the negative or other variations thereof. Forward-looking statements include other statements regarding matters that are not historical facts, including without limitation, plans for product development, forecasts of future costs and expenditures, possible outcomes of legal proceedings, capacity expansion and other growth initiatives, the adequacy of reserves for loss contingencies, and any statements regarding the Company’s financial outlook.</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by forward-looking statements include, but are not limited to, the following:</w:t>
      </w:r>
    </w:p>
    <w:p>
      <w:pPr>
        <w:spacing w:after="0" w:line="54"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fiscal, trade, and monetary policies, including the imposition of higher or new tariffs, trade barriers, and levels of employment;</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and global economic conditions, including impacts from rising inflation, supply chain disruptions, or new, ongoing, or escalated geopolitical or military conflicts or tensions;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nature of a segment of our products and the prices for those products, which are determined in significant part by external factors such as total industry capacity and wider industry cycles affecting supply and demand trends;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financing for home mortgages;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home construction and repair and remodel activity, including as a result of labor shortages;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 and prices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supply of and demand for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conditions of third-party wholesale distributors and dealers of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prices and the relationship between the supply of and demand for raw materials, including wood fiber and resins, used in manufacturing our products;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energy, primarily natural gas, electricity, and diesel fuel;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transportation, including transportation services provided by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vendors and suppliers for certain goods and services critical to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financial impacts from manufacturing our products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development, launch or production ramp-up of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executives, management and other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formulate and implement effective succession plans from time to time for key members of our management team;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global pandemics) on the economy, demand for our products or our operations, including the actions and recommendations of governmental authorities to contain such public health issues;</w:t>
      </w: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complete and integrate acquisitions, divestitures, joint ventures, capital investments and other corporate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or regional climate conditions, the impacts of climate change, and potential government policies adopted in response to such conditions;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significant operating expenses;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values and exchange rates between the U.S. dollar and other currencies, particularly the Canadian dollar, Chilean peso, Brazilian real, and Argentine peso;</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giving rise to environmental liabilities or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 exceeding our warranty reserves;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or exploitation of our intellectual property or other proprietary information by our competitors or other third parties;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existing and future product-related litigation, environmental proceedings and remediation efforts, and other legal or environmental proceedings or matters;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covenants and events of default contained in our debt instruments;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repurchases of our common stock and the payment of dividends on our common stock, which will depend on market and business conditions and other considerations;</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events affecting our information technology systems or those of our third-party providers and the related costs and impact of any disruption on our business; and</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public authorities, war, political or civil unrest, natural disasters, fire, floods, earthquakes, inclement weather, and other matters beyond our control.</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 dates they are made and are inherently uncertain. We undertake no obligation to revise or update any of the forward-looking statements to reflect subsequent events or circumstances except to the extent required by applicable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00" w:type="dxa"/>
            <w:vAlign w:val="bottom"/>
            <w:gridSpan w:val="5"/>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8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Amounts in millions, except per share amounts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38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color w:val="auto"/>
              </w:rPr>
              <w:t>(Unaudited)</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24"/>
                <w:szCs w:val="24"/>
                <w:color w:val="auto"/>
              </w:rPr>
            </w:pPr>
          </w:p>
        </w:tc>
        <w:tc>
          <w:tcPr>
            <w:tcW w:w="26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128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2,141</w:t>
            </w:r>
          </w:p>
        </w:tc>
        <w:tc>
          <w:tcPr>
            <w:tcW w:w="0" w:type="dxa"/>
            <w:vAlign w:val="bottom"/>
          </w:tcPr>
          <w:p>
            <w:pPr>
              <w:spacing w:after="0"/>
              <w:rPr>
                <w:sz w:val="1"/>
                <w:szCs w:val="1"/>
                <w:color w:val="auto"/>
              </w:rPr>
            </w:pPr>
          </w:p>
        </w:tc>
      </w:tr>
      <w:tr>
        <w:trPr>
          <w:trHeight w:val="213"/>
        </w:trPr>
        <w:tc>
          <w:tcPr>
            <w:tcW w:w="1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Cost of sales</w:t>
            </w:r>
          </w:p>
        </w:tc>
        <w:tc>
          <w:tcPr>
            <w:tcW w:w="242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impairment</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w:t>
            </w:r>
          </w:p>
        </w:tc>
        <w:tc>
          <w:tcPr>
            <w:tcW w:w="0" w:type="dxa"/>
            <w:vAlign w:val="bottom"/>
          </w:tcPr>
          <w:p>
            <w:pPr>
              <w:spacing w:after="0"/>
              <w:rPr>
                <w:sz w:val="1"/>
                <w:szCs w:val="1"/>
                <w:color w:val="auto"/>
              </w:rPr>
            </w:pPr>
          </w:p>
        </w:tc>
      </w:tr>
      <w:tr>
        <w:trPr>
          <w:trHeight w:val="213"/>
        </w:trPr>
        <w:tc>
          <w:tcPr>
            <w:tcW w:w="1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 income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non-operating (expense) income</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 unconsolidated affiliate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3"/>
        </w:trPr>
        <w:tc>
          <w:tcPr>
            <w:tcW w:w="12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24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23</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39"/>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76</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154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42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
        </w:trPr>
        <w:tc>
          <w:tcPr>
            <w:tcW w:w="12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4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80" w:type="dxa"/>
            <w:vAlign w:val="bottom"/>
            <w:vMerge w:val="continue"/>
          </w:tcPr>
          <w:p>
            <w:pPr>
              <w:spacing w:after="0"/>
              <w:rPr>
                <w:sz w:val="16"/>
                <w:szCs w:val="16"/>
                <w:color w:val="auto"/>
              </w:rPr>
            </w:pPr>
          </w:p>
        </w:tc>
        <w:tc>
          <w:tcPr>
            <w:tcW w:w="2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8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7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shares of common stock used to compute net income per share: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4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4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80" w:type="dxa"/>
            <w:vAlign w:val="bottom"/>
            <w:vMerge w:val="continue"/>
          </w:tcPr>
          <w:p>
            <w:pPr>
              <w:spacing w:after="0"/>
              <w:rPr>
                <w:sz w:val="16"/>
                <w:szCs w:val="16"/>
                <w:color w:val="auto"/>
              </w:rPr>
            </w:pPr>
          </w:p>
        </w:tc>
        <w:tc>
          <w:tcPr>
            <w:tcW w:w="2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302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5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5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w w:val="99"/>
              </w:rPr>
              <w:t>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w w:val="99"/>
              </w:rPr>
              <w:t>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7"/>
              </w:rPr>
              <w:t>(16)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8"/>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w w:val="99"/>
              </w:rPr>
              <w:t>5</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w w:val="99"/>
              </w:rPr>
              <w:t>60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r>
      <w:tr>
        <w:trPr>
          <w:trHeight w:val="22"/>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 as of September 30, 2026 and December 31, 2025</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8"/>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809</w:t>
            </w:r>
          </w:p>
        </w:tc>
        <w:tc>
          <w:tcPr>
            <w:tcW w:w="0" w:type="dxa"/>
            <w:vAlign w:val="bottom"/>
          </w:tcPr>
          <w:p>
            <w:pPr>
              <w:spacing w:after="0"/>
              <w:rPr>
                <w:sz w:val="1"/>
                <w:szCs w:val="1"/>
                <w:color w:val="auto"/>
              </w:rPr>
            </w:pPr>
          </w:p>
        </w:tc>
      </w:tr>
      <w:tr>
        <w:trPr>
          <w:trHeight w:val="272"/>
        </w:trPr>
        <w:tc>
          <w:tcPr>
            <w:tcW w:w="7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Timber and timberlands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in and advances to affiliates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5"/>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8"/>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291</w:t>
            </w:r>
          </w:p>
        </w:tc>
        <w:tc>
          <w:tcPr>
            <w:tcW w:w="0" w:type="dxa"/>
            <w:vAlign w:val="bottom"/>
          </w:tcPr>
          <w:p>
            <w:pPr>
              <w:spacing w:after="0"/>
              <w:rPr>
                <w:sz w:val="1"/>
                <w:szCs w:val="1"/>
                <w:color w:val="auto"/>
              </w:rPr>
            </w:pPr>
          </w:p>
        </w:tc>
      </w:tr>
      <w:tr>
        <w:trPr>
          <w:trHeight w:val="272"/>
        </w:trPr>
        <w:tc>
          <w:tcPr>
            <w:tcW w:w="7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Contingency reserves, excluding current portion</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896</w:t>
            </w: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$1 par value per share, 200 shares authorized; 85 shares issued and 70 shares issued and</w:t>
            </w:r>
          </w:p>
        </w:tc>
        <w:tc>
          <w:tcPr>
            <w:tcW w:w="1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29"/>
        </w:trPr>
        <w:tc>
          <w:tcPr>
            <w:tcW w:w="75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outstanding as of September 30, 2026 and December 31, 2025</w:t>
            </w:r>
          </w:p>
        </w:tc>
        <w:tc>
          <w:tcPr>
            <w:tcW w:w="1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15 shares at cost as of September 30, 2026 and December 31, 2025</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1,731</w:t>
            </w:r>
          </w:p>
        </w:tc>
        <w:tc>
          <w:tcPr>
            <w:tcW w:w="0" w:type="dxa"/>
            <w:vAlign w:val="bottom"/>
          </w:tcPr>
          <w:p>
            <w:pPr>
              <w:spacing w:after="0"/>
              <w:rPr>
                <w:sz w:val="1"/>
                <w:szCs w:val="1"/>
                <w:color w:val="auto"/>
              </w:rPr>
            </w:pPr>
          </w:p>
        </w:tc>
      </w:tr>
      <w:tr>
        <w:trPr>
          <w:trHeight w:val="208"/>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2,627</w:t>
            </w:r>
          </w:p>
        </w:tc>
        <w:tc>
          <w:tcPr>
            <w:tcW w:w="0" w:type="dxa"/>
            <w:vAlign w:val="bottom"/>
          </w:tcPr>
          <w:p>
            <w:pPr>
              <w:spacing w:after="0"/>
              <w:rPr>
                <w:sz w:val="1"/>
                <w:szCs w:val="1"/>
                <w:color w:val="auto"/>
              </w:rPr>
            </w:pPr>
          </w:p>
        </w:tc>
      </w:tr>
      <w:tr>
        <w:trPr>
          <w:trHeight w:val="22"/>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net income:</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goodwill and long-lived assets</w:t>
            </w:r>
          </w:p>
        </w:tc>
        <w:tc>
          <w:tcPr>
            <w:tcW w:w="1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adjustments, net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assets and liabilities (net of acquisitions and divestitures):</w:t>
            </w: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Receivables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taxes payable, net of receivables</w:t>
            </w:r>
          </w:p>
        </w:tc>
        <w:tc>
          <w:tcPr>
            <w:tcW w:w="1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operating activities</w:t>
            </w:r>
          </w:p>
        </w:tc>
        <w:tc>
          <w:tcPr>
            <w:tcW w:w="12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214</w:t>
            </w:r>
          </w:p>
        </w:tc>
        <w:tc>
          <w:tcPr>
            <w:tcW w:w="10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315</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additions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investing activities</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(216)</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stock</w:t>
            </w:r>
          </w:p>
        </w:tc>
        <w:tc>
          <w:tcPr>
            <w:tcW w:w="1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1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paid for interest, net</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Unpaid capital expenditures</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2025</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140" w:right="180"/>
        <w:spacing w:after="0" w:line="281" w:lineRule="auto"/>
        <w:rPr>
          <w:sz w:val="20"/>
          <w:szCs w:val="20"/>
          <w:color w:val="auto"/>
        </w:rPr>
      </w:pPr>
      <w:r>
        <w:rPr>
          <w:rFonts w:ascii="Times New Roman" w:cs="Times New Roman" w:eastAsia="Times New Roman" w:hAnsi="Times New Roman"/>
          <w:sz w:val="16"/>
          <w:szCs w:val="16"/>
          <w:color w:val="auto"/>
        </w:rPr>
        <w:t>Dividends paid ($0.30 per share) Issuance of shares under stock plans</w:t>
      </w:r>
    </w:p>
    <w:p>
      <w:pPr>
        <w:spacing w:after="0" w:line="1" w:lineRule="exact"/>
        <w:rPr>
          <w:sz w:val="20"/>
          <w:szCs w:val="20"/>
          <w:color w:val="auto"/>
        </w:rPr>
      </w:pPr>
    </w:p>
    <w:p>
      <w:pPr>
        <w:ind w:left="14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4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0" w:lineRule="exact"/>
        <w:rPr>
          <w:sz w:val="20"/>
          <w:szCs w:val="20"/>
          <w:color w:val="auto"/>
        </w:rPr>
      </w:pPr>
      <w:r>
        <w:rPr>
          <w:sz w:val="20"/>
          <w:szCs w:val="20"/>
          <w:color w:val="auto"/>
        </w:rPr>
        <w:br w:type="column"/>
      </w: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0"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6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7"/>
                <w:szCs w:val="7"/>
                <w:color w:val="auto"/>
              </w:rPr>
            </w:pPr>
          </w:p>
        </w:tc>
        <w:tc>
          <w:tcPr>
            <w:tcW w:w="116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1"/>
                <w:szCs w:val="11"/>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140" w:type="dxa"/>
            <w:vAlign w:val="bottom"/>
          </w:tcPr>
          <w:p>
            <w:pPr>
              <w:spacing w:after="0"/>
              <w:rPr>
                <w:sz w:val="11"/>
                <w:szCs w:val="11"/>
                <w:color w:val="auto"/>
              </w:rPr>
            </w:pPr>
          </w:p>
        </w:tc>
        <w:tc>
          <w:tcPr>
            <w:tcW w:w="11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06"/>
        </w:trPr>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w w:val="97"/>
              </w:rPr>
              <w:t>(98)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1,731</w:t>
            </w:r>
          </w:p>
        </w:tc>
        <w:tc>
          <w:tcPr>
            <w:tcW w:w="0" w:type="dxa"/>
            <w:vAlign w:val="bottom"/>
          </w:tcPr>
          <w:p>
            <w:pPr>
              <w:spacing w:after="0"/>
              <w:rPr>
                <w:sz w:val="1"/>
                <w:szCs w:val="1"/>
                <w:color w:val="auto"/>
              </w:rPr>
            </w:pPr>
          </w:p>
        </w:tc>
      </w:tr>
      <w:tr>
        <w:trPr>
          <w:trHeight w:val="214"/>
        </w:trPr>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left="859"/>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left="859"/>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center"/>
              <w:ind w:left="859"/>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20" w:type="dxa"/>
            <w:vAlign w:val="bottom"/>
            <w:gridSpan w:val="2"/>
          </w:tcPr>
          <w:p>
            <w:pPr>
              <w:jc w:val="center"/>
              <w:ind w:left="859"/>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78"/>
        </w:trPr>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20" w:type="dxa"/>
            <w:vAlign w:val="bottom"/>
            <w:gridSpan w:val="2"/>
          </w:tcPr>
          <w:p>
            <w:pPr>
              <w:jc w:val="center"/>
              <w:ind w:left="859"/>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-981710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-698500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-424180</wp:posOffset>
            </wp:positionV>
            <wp:extent cx="713232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680" w:space="80"/>
            <w:col w:w="8480"/>
          </w:cols>
          <w:pgMar w:left="320" w:top="887" w:right="339" w:bottom="1440" w:gutter="0" w:footer="0" w:header="0"/>
        </w:sectPr>
      </w:pPr>
    </w:p>
    <w:tbl>
      <w:tblPr>
        <w:tblLayout w:type="fixed"/>
        <w:tblInd w:w="0" w:type="dxa"/>
        <w:tblCellMar>
          <w:top w:w="0" w:type="dxa"/>
          <w:left w:w="0" w:type="dxa"/>
          <w:bottom w:w="0" w:type="dxa"/>
          <w:right w:w="0" w:type="dxa"/>
        </w:tblCellMar>
      </w:tblPr>
      <w:tr>
        <w:trPr>
          <w:trHeight w:val="202"/>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8"/>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2026</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509</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1,627</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1,730</w:t>
            </w:r>
          </w:p>
        </w:tc>
      </w:tr>
      <w:tr>
        <w:trPr>
          <w:trHeight w:val="211"/>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bl>
    <w:p>
      <w:pPr>
        <w:spacing w:after="0" w:line="1" w:lineRule="exact"/>
        <w:rPr>
          <w:sz w:val="20"/>
          <w:szCs w:val="20"/>
          <w:color w:val="auto"/>
        </w:rPr>
      </w:pPr>
    </w:p>
    <w:p>
      <w:pPr>
        <w:sectPr>
          <w:pgSz w:w="11900" w:h="16838" w:orient="portrait"/>
          <w:cols w:equalWidth="0" w:num="1">
            <w:col w:w="11240"/>
          </w:cols>
          <w:pgMar w:left="320" w:top="887" w:right="339" w:bottom="1440" w:gutter="0" w:footer="0" w:header="0"/>
          <w:type w:val="continuous"/>
        </w:sectPr>
      </w:pPr>
    </w:p>
    <w:p>
      <w:pPr>
        <w:ind w:left="140" w:right="180"/>
        <w:spacing w:after="0" w:line="281" w:lineRule="auto"/>
        <w:rPr>
          <w:sz w:val="20"/>
          <w:szCs w:val="20"/>
          <w:color w:val="auto"/>
        </w:rPr>
      </w:pPr>
      <w:r>
        <w:rPr>
          <w:rFonts w:ascii="Times New Roman" w:cs="Times New Roman" w:eastAsia="Times New Roman" w:hAnsi="Times New Roman"/>
          <w:sz w:val="16"/>
          <w:szCs w:val="16"/>
          <w:color w:val="auto"/>
        </w:rPr>
        <w:t>Dividends paid ($0.30 per share) Issuance of shares under stock plans</w:t>
      </w:r>
    </w:p>
    <w:p>
      <w:pPr>
        <w:spacing w:after="0" w:line="1" w:lineRule="exact"/>
        <w:rPr>
          <w:sz w:val="20"/>
          <w:szCs w:val="20"/>
          <w:color w:val="auto"/>
        </w:rPr>
      </w:pPr>
    </w:p>
    <w:p>
      <w:pPr>
        <w:ind w:left="14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7"/>
              </w:rPr>
              <w:t>(21)</w:t>
            </w:r>
          </w:p>
        </w:tc>
        <w:tc>
          <w:tcPr>
            <w:tcW w:w="14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w:t>
            </w: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w:t>
            </w:r>
          </w:p>
        </w:tc>
        <w:tc>
          <w:tcPr>
            <w:tcW w:w="13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w:t>
            </w:r>
          </w:p>
        </w:tc>
        <w:tc>
          <w:tcPr>
            <w:tcW w:w="13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-509905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-132715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80" w:space="580"/>
            <w:col w:w="798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2026</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515</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1,633</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1,744</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 ($0.30 per share)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Compensation expense associated with</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29"/>
        </w:trPr>
        <w:tc>
          <w:tcPr>
            <w:tcW w:w="27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760" w:type="dxa"/>
            <w:vAlign w:val="bottom"/>
            <w:vMerge w:val="continue"/>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6"/>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2026</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91"/>
        </w:trPr>
        <w:tc>
          <w:tcPr>
            <w:tcW w:w="2740" w:type="dxa"/>
            <w:vAlign w:val="bottom"/>
          </w:tcPr>
          <w:p>
            <w:pPr>
              <w:spacing w:after="0"/>
              <w:rPr>
                <w:sz w:val="16"/>
                <w:szCs w:val="16"/>
                <w:color w:val="auto"/>
              </w:rPr>
            </w:pPr>
          </w:p>
        </w:tc>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6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4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gridSpan w:val="2"/>
            <w:vMerge w:val="restart"/>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4"/>
                <w:szCs w:val="4"/>
                <w:color w:val="auto"/>
              </w:rPr>
            </w:pPr>
          </w:p>
        </w:tc>
        <w:tc>
          <w:tcPr>
            <w:tcW w:w="1140" w:type="dxa"/>
            <w:vAlign w:val="bottom"/>
            <w:vMerge w:val="restart"/>
          </w:tcPr>
          <w:p>
            <w:pPr>
              <w:jc w:val="center"/>
              <w:ind w:right="61"/>
              <w:spacing w:after="0" w:line="11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740" w:type="dxa"/>
            <w:vAlign w:val="bottom"/>
          </w:tcPr>
          <w:p>
            <w:pPr>
              <w:spacing w:after="0"/>
              <w:rPr>
                <w:sz w:val="9"/>
                <w:szCs w:val="9"/>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9"/>
                <w:szCs w:val="9"/>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140" w:type="dxa"/>
            <w:vAlign w:val="bottom"/>
          </w:tcPr>
          <w:p>
            <w:pPr>
              <w:spacing w:after="0"/>
              <w:rPr>
                <w:sz w:val="9"/>
                <w:szCs w:val="9"/>
                <w:color w:val="auto"/>
              </w:rPr>
            </w:pPr>
          </w:p>
        </w:tc>
        <w:tc>
          <w:tcPr>
            <w:tcW w:w="1140" w:type="dxa"/>
            <w:vAlign w:val="bottom"/>
            <w:vMerge w:val="restart"/>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06"/>
        </w:trPr>
        <w:tc>
          <w:tcPr>
            <w:tcW w:w="27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w w:val="97"/>
              </w:rPr>
              <w:t>(122)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1,671</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($0.28 per share)</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shares under stock plans</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Taxes paid related to net settlement of</w:t>
            </w: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29"/>
        </w:trPr>
        <w:tc>
          <w:tcPr>
            <w:tcW w:w="27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awards</w:t>
            </w: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740" w:type="dxa"/>
            <w:vAlign w:val="bottom"/>
            <w:vMerge w:val="continue"/>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stock</w:t>
            </w:r>
          </w:p>
        </w:tc>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Compensation expense associated with</w:t>
            </w: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29"/>
        </w:trPr>
        <w:tc>
          <w:tcPr>
            <w:tcW w:w="27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740" w:type="dxa"/>
            <w:vAlign w:val="bottom"/>
            <w:vMerge w:val="continue"/>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40" w:top="1082" w:right="359" w:bottom="1440" w:gutter="0" w:footer="0" w:header="0"/>
        </w:sectPr>
      </w:pPr>
    </w:p>
    <w:p>
      <w:pPr>
        <w:ind w:left="20" w:right="640" w:firstLine="122"/>
        <w:spacing w:after="0" w:line="290" w:lineRule="auto"/>
        <w:rPr>
          <w:sz w:val="20"/>
          <w:szCs w:val="20"/>
          <w:color w:val="auto"/>
        </w:rPr>
      </w:pPr>
      <w:r>
        <w:rPr>
          <w:rFonts w:ascii="Times New Roman" w:cs="Times New Roman" w:eastAsia="Times New Roman" w:hAnsi="Times New Roman"/>
          <w:sz w:val="16"/>
          <w:szCs w:val="16"/>
          <w:color w:val="auto"/>
        </w:rPr>
        <w:t xml:space="preserve">Other comprehensive income </w:t>
      </w:r>
      <w:r>
        <w:rPr>
          <w:rFonts w:ascii="Times New Roman" w:cs="Times New Roman" w:eastAsia="Times New Roman" w:hAnsi="Times New Roman"/>
          <w:sz w:val="16"/>
          <w:szCs w:val="16"/>
          <w:b w:val="1"/>
          <w:bCs w:val="1"/>
          <w:color w:val="auto"/>
        </w:rPr>
        <w:t>Balance, March 31, 2025</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income</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Dividends paid ($0.28 per share)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Issuance of shares under stock plans</w:t>
      </w:r>
    </w:p>
    <w:p>
      <w:pPr>
        <w:spacing w:after="0" w:line="32" w:lineRule="exact"/>
        <w:rPr>
          <w:sz w:val="20"/>
          <w:szCs w:val="20"/>
          <w:color w:val="auto"/>
        </w:rPr>
      </w:pPr>
    </w:p>
    <w:p>
      <w:pPr>
        <w:ind w:left="14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4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9"/>
        </w:trPr>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480</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1,625</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1,692</w:t>
            </w:r>
          </w:p>
        </w:tc>
      </w:tr>
      <w:tr>
        <w:trPr>
          <w:trHeight w:val="206"/>
        </w:trPr>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78"/>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-989965</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-698500</wp:posOffset>
            </wp:positionV>
            <wp:extent cx="711517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-424180</wp:posOffset>
            </wp:positionV>
            <wp:extent cx="7115175"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680" w:space="60"/>
            <w:col w:w="8460"/>
          </w:cols>
          <w:pgMar w:left="340" w:top="1082" w:right="35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2025</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488</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1,659</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1,742</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 ($0.28 per share)</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Compensation expense associated with</w:t>
            </w: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29"/>
        </w:trPr>
        <w:tc>
          <w:tcPr>
            <w:tcW w:w="27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740" w:type="dxa"/>
            <w:vAlign w:val="bottom"/>
            <w:vMerge w:val="continue"/>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2025</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1,739</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2" w:right="359" w:bottom="1440" w:gutter="0" w:footer="0" w:header="0"/>
          <w:type w:val="continuous"/>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The Company operates more than 20 manufacturing facilities across North and South America and operates an additional facility through a joint venture. References to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LP,”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Company,”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refer to Louisiana-Pacific Corporation and its consolidated subsidiaries as a whole.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Note 11. Selected Segment Data” below for further information regarding our products and segments.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here have been prepared in accordance with accounting principles generally accepted in the United States of America (U.S. GAAP) for interim financial reporting. As such, they do not include all the information and footnotes required by U.S. GAAP for complete consolidated financial statements. Management believes that all necessary adjustments for a fair presentation have been included and are of a normal and recurring nature. These Condensed Consolidated Financial Statements and the accompanying Notes should be reviewed in conjunction with our annual report on Form 10-K for the fiscal year ended December 31, 2025, filed with the SEC on February 17, 2026 (2025 Annual Report on Form 10-K). The results of operations for interim periods are not necessarily indicative of the results that may be expected for the full fiscal year.</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LP and our consolidated subsidiaries. All intercompany transactions, profits, and balances have been eliminated.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years to conform to the current year presentation.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which requires entities to provide more detailed disaggregation of expenses in the income statement, focusing on the nature of the expenses rather than their function. ASU 2024-03 will require entities to separately present expenses for significant line items, including but not limited to, depreciation, amortization, and employee compensation.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This pronouncement is effective for fiscal years beginning after December 15, 2026, and interim periods within fiscal years beginning after December 15, 2027, with early adoption permitted. The Company is currently evaluating the impact of adopting this ASU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disaggregated into major product lines. We believe disaggregation into these categories provides insight into how the nature, amount, timing, and uncertainty of revenue and cash flows are affected by economic factors.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reportable segment revenues, disaggregated by revenue source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Siding</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attributable to Siding</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1,305</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OSB - Commodity</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attributable to OSB</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696</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Sales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obligations under the terms of a contract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businesses routinely incur customer program costs to obtain favorable product placement, promote sales of products, and maintain competitive pricing. Customer program costs and incentives, including rebates, promotions, and volume allowances, are accounted for as a reduction in net sales at the time the program is initiated and/or the revenue is recognized. These costs are recorded using management’s best estimates, which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 Management adjusts accruals when circumstances indicate (typically as a result of a change in volume expectations).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point, we invoice the retailer and recognize revenue for these consignment transactions. No right of return is offered for products shipped to the retailers’ stores from the distribution centers.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based 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restricted stock units, and performance stock units) be excluded from the calculation of diluted earnings per share for the periods in which losses are reported because the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(dollar and share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10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Dilutive effect of employee stock plans</w:t>
            </w:r>
          </w:p>
        </w:tc>
        <w:tc>
          <w:tcPr>
            <w:tcW w:w="9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Shares used for diluted earnings per share</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6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7"/>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SUPPLEMENTAL BALANCE SHEET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receivables are primarily generated by sales of our products to our wholesale and retail customers. Receivables consisted of the following (dollar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72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Receivables</w:t>
            </w:r>
          </w:p>
        </w:tc>
        <w:tc>
          <w:tcPr>
            <w:tcW w:w="1720" w:type="dxa"/>
            <w:vAlign w:val="bottom"/>
            <w:tcBorders>
              <w:bottom w:val="single" w:sz="8" w:color="auto"/>
            </w:tcBorders>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20"/>
        <w:spacing w:after="0" w:line="375" w:lineRule="auto"/>
        <w:rPr>
          <w:sz w:val="20"/>
          <w:szCs w:val="20"/>
          <w:color w:val="auto"/>
        </w:rPr>
      </w:pPr>
      <w:r>
        <w:rPr>
          <w:rFonts w:ascii="Times New Roman" w:cs="Times New Roman" w:eastAsia="Times New Roman" w:hAnsi="Times New Roman"/>
          <w:sz w:val="18"/>
          <w:szCs w:val="18"/>
          <w:color w:val="auto"/>
        </w:rPr>
        <w:t xml:space="preserve">Other receivables as of September 30, 2026, and December 31, 2025, primarily consisted of sales tax receivables and other miscellaneous receivables. </w:t>
      </w:r>
      <w:r>
        <w:rPr>
          <w:rFonts w:ascii="Times New Roman" w:cs="Times New Roman" w:eastAsia="Times New Roman" w:hAnsi="Times New Roman"/>
          <w:sz w:val="18"/>
          <w:szCs w:val="18"/>
          <w:b w:val="1"/>
          <w:bCs w:val="1"/>
          <w:color w:val="auto"/>
        </w:rPr>
        <w:t>Inventories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Inventory cost includes materials, labor, and operating overhead. The first-in, first-out and average cost methods are used to value our inventories. Inventories include a lower of cost or market adjustment of $12 million and $23 million as of September 30, 2026, and December 31, 2025, respectively. Inventory consisted of the following (dollar amounts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Logs</w:t>
            </w:r>
          </w:p>
        </w:tc>
        <w:tc>
          <w:tcPr>
            <w:tcW w:w="172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raw materials</w:t>
            </w:r>
          </w:p>
        </w:tc>
        <w:tc>
          <w:tcPr>
            <w:tcW w:w="1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Semi-finished inventories</w:t>
            </w: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35"/>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1720" w:type="dxa"/>
            <w:vAlign w:val="bottom"/>
            <w:tcBorders>
              <w:bottom w:val="single" w:sz="8" w:color="auto"/>
            </w:tcBorders>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including capitalized interest, are recorded at cost and consisted of the following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land improvements, and logging roads, net of road amortization</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tc>
        <w:tc>
          <w:tcPr>
            <w:tcW w:w="8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3,793</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3,650</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19"/>
              <w:spacing w:after="0"/>
              <w:rPr>
                <w:sz w:val="20"/>
                <w:szCs w:val="20"/>
                <w:color w:val="auto"/>
              </w:rPr>
            </w:pPr>
            <w:r>
              <w:rPr>
                <w:rFonts w:ascii="Times New Roman" w:cs="Times New Roman" w:eastAsia="Times New Roman" w:hAnsi="Times New Roman"/>
                <w:sz w:val="16"/>
                <w:szCs w:val="16"/>
                <w:color w:val="auto"/>
              </w:rPr>
              <w:t>(2,043)</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19"/>
              <w:spacing w:after="0"/>
              <w:rPr>
                <w:sz w:val="20"/>
                <w:szCs w:val="20"/>
                <w:color w:val="auto"/>
              </w:rPr>
            </w:pPr>
            <w:r>
              <w:rPr>
                <w:rFonts w:ascii="Times New Roman" w:cs="Times New Roman" w:eastAsia="Times New Roman" w:hAnsi="Times New Roman"/>
                <w:sz w:val="16"/>
                <w:szCs w:val="16"/>
                <w:color w:val="auto"/>
              </w:rPr>
              <w:t>(1,941)</w:t>
            </w:r>
          </w:p>
        </w:tc>
      </w:tr>
      <w:tr>
        <w:trPr>
          <w:trHeight w:val="237"/>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1,749</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1,709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goodwill and other intangible assets for the nine months ended September 30, 2026, are provided in the following table (dollar amounts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3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Developed Technology</w:t>
            </w:r>
          </w:p>
        </w:tc>
        <w:tc>
          <w:tcPr>
            <w:tcW w:w="16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Total Goodwill and</w:t>
            </w: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Intangibles</w:t>
            </w:r>
          </w:p>
        </w:tc>
        <w:tc>
          <w:tcPr>
            <w:tcW w:w="0" w:type="dxa"/>
            <w:vAlign w:val="bottom"/>
          </w:tcPr>
          <w:p>
            <w:pPr>
              <w:spacing w:after="0"/>
              <w:rPr>
                <w:sz w:val="1"/>
                <w:szCs w:val="1"/>
                <w:color w:val="auto"/>
              </w:rPr>
            </w:pPr>
          </w:p>
        </w:tc>
      </w:tr>
      <w:tr>
        <w:trPr>
          <w:trHeight w:val="85"/>
        </w:trPr>
        <w:tc>
          <w:tcPr>
            <w:tcW w:w="564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December 31, 2025</w:t>
            </w: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6"/>
                <w:szCs w:val="16"/>
                <w:b w:val="1"/>
                <w:bCs w:val="1"/>
                <w:color w:val="auto"/>
              </w:rPr>
              <w:t>22</w:t>
            </w:r>
          </w:p>
        </w:tc>
        <w:tc>
          <w:tcPr>
            <w:tcW w:w="0" w:type="dxa"/>
            <w:vAlign w:val="bottom"/>
          </w:tcPr>
          <w:p>
            <w:pPr>
              <w:spacing w:after="0"/>
              <w:rPr>
                <w:sz w:val="1"/>
                <w:szCs w:val="1"/>
                <w:color w:val="auto"/>
              </w:rPr>
            </w:pP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3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6"/>
                <w:szCs w:val="16"/>
                <w:b w:val="1"/>
                <w:bCs w:val="1"/>
                <w:color w:val="auto"/>
              </w:rPr>
              <w:t>(3)</w:t>
            </w:r>
          </w:p>
        </w:tc>
        <w:tc>
          <w:tcPr>
            <w:tcW w:w="0" w:type="dxa"/>
            <w:vAlign w:val="bottom"/>
          </w:tcPr>
          <w:p>
            <w:pPr>
              <w:spacing w:after="0"/>
              <w:rPr>
                <w:sz w:val="1"/>
                <w:szCs w:val="1"/>
                <w:color w:val="auto"/>
              </w:rPr>
            </w:pPr>
          </w:p>
        </w:tc>
      </w:tr>
      <w:tr>
        <w:trPr>
          <w:trHeight w:val="234"/>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September 30, 2026</w:t>
            </w:r>
          </w:p>
        </w:tc>
        <w:tc>
          <w:tcPr>
            <w:tcW w:w="1380" w:type="dxa"/>
            <w:vAlign w:val="bottom"/>
            <w:tcBorders>
              <w:top w:val="single" w:sz="8" w:color="auto"/>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b w:val="1"/>
                <w:bCs w:val="1"/>
                <w:color w:val="auto"/>
              </w:rPr>
              <w:t>19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Timber and Timberlands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Timber and timberlands are comprised of timber deeds and allocations of the purchase price to Canadian timber harvesting licenses. Timber deeds are transactions in which we purchase timber but not the underlying land. We had timber and timberlands of $3 million and $5 million as of September 30, 2026, and December 31, 2025,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Timber licenses have a life of 20 to 25 years and are amortized on a straight-line basis over the life of the agreement. Changes in timber licenses for the nine months ended September 30, 2026 and September 30, 2025, are provided in the following table (dollar amounts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Timber Licenses</w:t>
            </w:r>
            <w:r>
              <w:rPr>
                <w:rFonts w:ascii="Times New Roman" w:cs="Times New Roman" w:eastAsia="Times New Roman" w:hAnsi="Times New Roman"/>
                <w:sz w:val="21"/>
                <w:szCs w:val="21"/>
                <w:b w:val="1"/>
                <w:bCs w:val="1"/>
                <w:color w:val="auto"/>
                <w:vertAlign w:val="superscript"/>
              </w:rPr>
              <w:t>1</w:t>
            </w:r>
          </w:p>
        </w:tc>
      </w:tr>
      <w:tr>
        <w:trPr>
          <w:trHeight w:val="21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December 31, 2025</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center"/>
              <w:ind w:left="1319"/>
              <w:spacing w:after="0"/>
              <w:rPr>
                <w:sz w:val="20"/>
                <w:szCs w:val="20"/>
                <w:color w:val="auto"/>
              </w:rPr>
            </w:pPr>
            <w:r>
              <w:rPr>
                <w:rFonts w:ascii="Times New Roman" w:cs="Times New Roman" w:eastAsia="Times New Roman" w:hAnsi="Times New Roman"/>
                <w:sz w:val="16"/>
                <w:szCs w:val="16"/>
                <w:color w:val="auto"/>
                <w:w w:val="99"/>
              </w:rPr>
              <w:t>8</w:t>
            </w:r>
          </w:p>
        </w:tc>
      </w:tr>
      <w:tr>
        <w:trPr>
          <w:trHeight w:val="213"/>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left="1279"/>
              <w:spacing w:after="0"/>
              <w:rPr>
                <w:sz w:val="20"/>
                <w:szCs w:val="20"/>
                <w:color w:val="auto"/>
              </w:rPr>
            </w:pPr>
            <w:r>
              <w:rPr>
                <w:rFonts w:ascii="Times New Roman" w:cs="Times New Roman" w:eastAsia="Times New Roman" w:hAnsi="Times New Roman"/>
                <w:sz w:val="16"/>
                <w:szCs w:val="16"/>
                <w:color w:val="auto"/>
              </w:rPr>
              <w:t>(1)</w:t>
            </w:r>
          </w:p>
        </w:tc>
      </w:tr>
      <w:tr>
        <w:trPr>
          <w:trHeight w:val="236"/>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September 30, 2026</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center"/>
              <w:ind w:left="1319"/>
              <w:spacing w:after="0"/>
              <w:rPr>
                <w:sz w:val="20"/>
                <w:szCs w:val="20"/>
                <w:color w:val="auto"/>
              </w:rPr>
            </w:pPr>
            <w:r>
              <w:rPr>
                <w:rFonts w:ascii="Times New Roman" w:cs="Times New Roman" w:eastAsia="Times New Roman" w:hAnsi="Times New Roman"/>
                <w:sz w:val="16"/>
                <w:szCs w:val="16"/>
                <w:b w:val="1"/>
                <w:bCs w:val="1"/>
                <w:color w:val="auto"/>
                <w:w w:val="99"/>
              </w:rPr>
              <w:t>7</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80" w:hanging="72"/>
        <w:spacing w:after="0"/>
        <w:tabs>
          <w:tab w:leader="none" w:pos="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Timber licenses are included in timber and timberlands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payable</w:t>
            </w:r>
          </w:p>
        </w:tc>
        <w:tc>
          <w:tcPr>
            <w:tcW w:w="172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wages payable</w:t>
            </w:r>
          </w:p>
        </w:tc>
        <w:tc>
          <w:tcPr>
            <w:tcW w:w="1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customer incentives</w:t>
            </w: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5"/>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accounts payable and accrued liabilities</w:t>
            </w:r>
          </w:p>
        </w:tc>
        <w:tc>
          <w:tcPr>
            <w:tcW w:w="1720" w:type="dxa"/>
            <w:vAlign w:val="bottom"/>
            <w:tcBorders>
              <w:bottom w:val="single" w:sz="8" w:color="auto"/>
            </w:tcBorders>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accrued liabilities as of September 30, 2026, and December 31, 2025, primarily consisted of accrued interest, the short-term portion of workers’ compensation liabilities, the current portion of product warranties, and other items. Additionally, trade accounts payable included $26 million and $33 million related to capital expenditures that had not yet been paid as of September 30, 2026, and December 31, 2025,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obligations</w:t>
            </w:r>
          </w:p>
        </w:tc>
        <w:tc>
          <w:tcPr>
            <w:tcW w:w="176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Warranty reserves</w:t>
            </w:r>
          </w:p>
        </w:tc>
        <w:tc>
          <w:tcPr>
            <w:tcW w:w="1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8"/>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other long-term liabilities</w:t>
            </w:r>
          </w:p>
        </w:tc>
        <w:tc>
          <w:tcPr>
            <w:tcW w:w="1760" w:type="dxa"/>
            <w:vAlign w:val="bottom"/>
            <w:tcBorders>
              <w:bottom w:val="single" w:sz="8" w:color="auto"/>
            </w:tcBorders>
          </w:tcPr>
          <w:p>
            <w:pPr>
              <w:jc w:val="right"/>
              <w:ind w:right="1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r>
      <w:tr>
        <w:trPr>
          <w:trHeight w:val="22"/>
        </w:trPr>
        <w:tc>
          <w:tcPr>
            <w:tcW w:w="70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long-term liabilities as of September 30, 2026, and December 31, 2025, consisted primarily of executive deferred compensation and the long-term portion of workers’ compensation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Product Warranties” below for further information regarding our product warranty claims.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three levels of inputs that may be used to measure fair value:</w:t>
      </w:r>
    </w:p>
    <w:p>
      <w:pPr>
        <w:spacing w:after="0" w:line="11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that are accessible at the measurement date for identical, unrestricted assets or liabilities.</w:t>
      </w:r>
    </w:p>
    <w:p>
      <w:pPr>
        <w:spacing w:after="0" w:line="117" w:lineRule="exact"/>
        <w:rPr>
          <w:sz w:val="20"/>
          <w:szCs w:val="20"/>
          <w:color w:val="auto"/>
        </w:rPr>
      </w:pPr>
    </w:p>
    <w:p>
      <w:pPr>
        <w:jc w:val="both"/>
        <w:ind w:left="780" w:hanging="971"/>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Level 2</w:t>
        <w:tab/>
        <w:t>Quoted prices for similar assets or liabilities in active markets; quoted prices for identical or similar assets or liabilities in inactive markets; or valuations based on models where the significant inputs are observable or can be corroborated by observable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jc w:val="both"/>
        <w:ind w:left="760" w:hanging="97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Level 3</w:t>
        <w:tab/>
        <w:t>Valuations based on models where significant inputs are not observable. Unobservable inputs are used when little or no market data is available and reflect the Company’s own assumptions about the assumptions market participants would use.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short-term receivables, trade payables, debt instruments, and trading securities. Carrying amounts reported on the balance sheet for cash and cash equivalents, receivables, and accounts payable approximate fair value due to the short-term maturity of these instruments.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carrying value of the Company’s 3.625% Senior Notes due in 2029 (2029 Senior Notes) was $349 million and $348 million as of September 30, 2026 and December 31, 2025, respectively. Based on market quotations, the fair value of the 2029 Senior Notes was estimated to be $336 million and $341 million as of September 30, 2026 and December 31, 2025, respectively. The 2029 Senior Notes and other long-term debt are categorized as Level 1 in the U.S. GAAP fair value hierarchy. Fair values are based on trading activity among the Company’s lenders and the average bid and ask price is determined using published rates.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2025, LP entered into that certain First Amendment to Second Amended and Restated Credit Agreement (the First Amendment) with American AgCredit, PCA, as administrative agent, CoBank, ACB, as letter of credit issuer, and the lenders and voting participants party thereto, which amends that certain Second Amended and Restated Credit Agreement (the Credit Agreement) that was entered into in November 2022. The First Amendment amended the Credit Agreement to (1) increase the aggregate principal amount for the credit facility (the Amended Credit Facility) from $550 million to $750 million,</w:t>
      </w:r>
    </w:p>
    <w:p>
      <w:pPr>
        <w:spacing w:after="0" w:line="3" w:lineRule="exact"/>
        <w:rPr>
          <w:sz w:val="20"/>
          <w:szCs w:val="20"/>
          <w:color w:val="auto"/>
        </w:rPr>
      </w:pPr>
    </w:p>
    <w:p>
      <w:pPr>
        <w:jc w:val="both"/>
        <w:ind w:firstLine="8"/>
        <w:spacing w:after="0" w:line="255" w:lineRule="auto"/>
        <w:tabs>
          <w:tab w:leader="none" w:pos="2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sub-limit for letters of credit from $60 million to $75 million, (3) change the interest rate for revolving borrowing, (4) change the capitalization ratio limit, and (5) extend the maturity date to March 26, 2032. As of September 30, 2026, there were no outstanding borrowings pursuant to the Amended Credit Facility.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interim periods, income tax expense is recognized by applying the estimated annual effective tax rate to year-to-date results, unless doing so does not yield a reliable estimate. Each quarter, the income tax accrual is updated based on the latest estimate, and any difference from the previously accrued year-to-date balance is recorded in the current quarter. Changes in profitability estimates across jurisdictions may affect quarterly effective tax rates.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nine months ended September 30, 2026, and 2025, reflected an estimated annual effective tax rate of 26% and 27%, respectively, excluding discrete items discussed below. The total tax provision for the three and nine months ended September 30, 2026, was $9 million and $26 million, respectively, compared to $9 million and $54 million for the corresponding periods in 2025. The total effective tax rate for the three and nine months ended September 30, 2026, was 28% and 25%, respectively, compared to 52% and 26% for the corresponding periods in 2025.</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recognized a $1 million net discrete tax benefit primarily related to inflationary and foreign currency exchange-related effects. During the nine months ended September 30, 2025, we recognized a $2 million net discrete tax benefit primarily related to inflationary and foreign currency exchange-related effects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OTHER OPERATING AND NON-OPERATING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credits and charges,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credits and charges, net,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Reorganization charges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Product-line discontinuance charges</w:t>
            </w:r>
          </w:p>
        </w:tc>
        <w:tc>
          <w:tcPr>
            <w:tcW w:w="104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asset disposal</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5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Other operating credits and charges, net</w:t>
            </w: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we recorded $5 million related to severance and other charges associated with our curtailment of an OSB mill in Jasper,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Non-operating income (expense)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Other non-operating income (expense)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r>
      <w:tr>
        <w:trPr>
          <w:trHeight w:val="22"/>
        </w:trPr>
        <w:tc>
          <w:tcPr>
            <w:tcW w:w="5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IMPAIRMENT OF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carrying values of our long-lived assets are reviewed for potential impairments, and adequate support is believed by management to exist for each asset’s carrying value based on anticipated cash flows derived from estimates of future demand, pricing, and production costs, assuming certain levels of planned capital expenditures. However, if demand and pricing for our products fall to levels significantly below cycle-average demand and pricing, should we decide to invest capital in alternative projects, or should changes occur related to our wood supply for our mills, it is possible that future impairment charges will be required. During the third quarter of 2026, it was announced that OSB production at the Jasper, Texas facility would be indefinitely curtailed. As of September 30, 2026, there were no indicators of impairment for the asset group that included the facility; accordingly, no impairment was recognized.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changes to our strategic plans, including decisions regarding the continued use or disposition of specific assets, are also periodically evaluated, taking into account current and anticipated economic and industry conditions, and other relevant factors. Such decisions may require management to revise assumptions regarding expected future cash flows or estimated recoverable values. If revised estimates indicate that the carrying amount of an asset is not recoverable, impairment charges may be required.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was recognized during the three and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for various contingent liabilities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reserves</w:t>
            </w:r>
          </w:p>
        </w:tc>
        <w:tc>
          <w:tcPr>
            <w:tcW w:w="1760" w:type="dxa"/>
            <w:vAlign w:val="bottom"/>
            <w:tcBorders>
              <w:bottom w:val="single" w:sz="8" w:color="auto"/>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27</w:t>
            </w:r>
          </w:p>
        </w:tc>
      </w:tr>
      <w:tr>
        <w:trPr>
          <w:trHeight w:val="208"/>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contingencies</w:t>
            </w:r>
          </w:p>
        </w:tc>
        <w:tc>
          <w:tcPr>
            <w:tcW w:w="1760" w:type="dxa"/>
            <w:vAlign w:val="bottom"/>
          </w:tcPr>
          <w:p>
            <w:pPr>
              <w:jc w:val="right"/>
              <w:ind w:right="1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Pr>
          <w:p>
            <w:pPr>
              <w:ind w:left="1580"/>
              <w:spacing w:after="0"/>
              <w:rPr>
                <w:sz w:val="20"/>
                <w:szCs w:val="20"/>
                <w:color w:val="auto"/>
              </w:rPr>
            </w:pPr>
            <w:r>
              <w:rPr>
                <w:rFonts w:ascii="Times New Roman" w:cs="Times New Roman" w:eastAsia="Times New Roman" w:hAnsi="Times New Roman"/>
                <w:sz w:val="16"/>
                <w:szCs w:val="16"/>
                <w:b w:val="1"/>
                <w:bCs w:val="1"/>
                <w:color w:val="auto"/>
              </w:rPr>
              <w:t>27</w:t>
            </w:r>
          </w:p>
        </w:tc>
      </w:tr>
      <w:tr>
        <w:trPr>
          <w:trHeight w:val="218"/>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(included in accounts payable and accrued liabilities)</w:t>
            </w:r>
          </w:p>
        </w:tc>
        <w:tc>
          <w:tcPr>
            <w:tcW w:w="17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portion</w:t>
            </w:r>
          </w:p>
        </w:tc>
        <w:tc>
          <w:tcPr>
            <w:tcW w:w="1760" w:type="dxa"/>
            <w:vAlign w:val="bottom"/>
            <w:tcBorders>
              <w:bottom w:val="single" w:sz="8" w:color="auto"/>
            </w:tcBorders>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6"/>
                <w:szCs w:val="16"/>
                <w:color w:val="auto"/>
              </w:rPr>
              <w:t>26</w:t>
            </w:r>
          </w:p>
        </w:tc>
      </w:tr>
      <w:tr>
        <w:trPr>
          <w:trHeight w:val="23"/>
        </w:trPr>
        <w:tc>
          <w:tcPr>
            <w:tcW w:w="70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Estimates of loss contingencies are based on various assumptions and judgments. Due to the numerous uncertainties and variables associated with these assumptions and judgments, both the precision and reliability of the resulting estimates are subject to substantial uncertainties. Estimated exposure to loss contingencies is regularly monitored, and as additional information becomes available, estimates may change significantly. Although no estimate of the range of any such change can be made at this time, the amount ultimately paid in connection with these matters could materially exceed, in either the near term or the longer term, the amounts accrued to date. Estimates of loss contingencies do not reflect potential future recoveries from insurance carriers, except to the extent that recovery is deemed probable based on an insurer’s agreement to payment terms.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reserve is maintained for undiscounted estimated environmental loss contingencies. This reserve is primarily maintained for estimated future costs of remediation of hazardous or toxic substances at numerous sites currently or previously owned by the Company. Estimates of environmental loss contingencies are based on various assumptions and judgments, the specific nature of which varies considering the particular facts and circumstances surrounding each environmental loss contingency. These estimates typically reflect management’s assumptions and judgments as to the probable nature, magnitude, and timing of the required investigation, remediation, and/or monitoring activities, as well as the probable costs associated with those activities. In some cases, estimates also consider the obligation, willingness, or ability of third parties to bear a proportionate or allocated share of the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Proceedings</w:t>
      </w:r>
    </w:p>
    <w:p>
      <w:pPr>
        <w:spacing w:after="0" w:line="1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From time to time, the Company and its subsidiaries are parties to certain legal proceedings arising in the ordinary course of business. Based on the information currently available, management does not believe that the resolution of such proceedings could reasonably be expected to have a material adverse effect on the Company’s financial position, results of operations, cash flows,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Warranties are offered on the sale of most of our products, and an accrual is recorded for estimated future claims. Such accruals are based upon historical experience and management’s estimate of the level of future claims. The activity in the warranty reserves is summarized in the following table for the three and nine months ended September 30, 2026 and 2025 (dollar amounts in millions):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Beginning balance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Change in warranty provision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Payments made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warranty reserves</w:t>
      </w:r>
    </w:p>
    <w:p>
      <w:pPr>
        <w:spacing w:after="0" w:line="48" w:lineRule="exact"/>
        <w:rPr>
          <w:sz w:val="20"/>
          <w:szCs w:val="20"/>
          <w:color w:val="auto"/>
        </w:rPr>
      </w:pPr>
    </w:p>
    <w:p>
      <w:pPr>
        <w:ind w:left="240"/>
        <w:spacing w:after="0" w:line="245" w:lineRule="auto"/>
        <w:rPr>
          <w:sz w:val="20"/>
          <w:szCs w:val="20"/>
          <w:color w:val="auto"/>
        </w:rPr>
      </w:pPr>
      <w:r>
        <w:rPr>
          <w:rFonts w:ascii="Times New Roman" w:cs="Times New Roman" w:eastAsia="Times New Roman" w:hAnsi="Times New Roman"/>
          <w:sz w:val="16"/>
          <w:szCs w:val="16"/>
          <w:color w:val="auto"/>
        </w:rPr>
        <w:t>Current portion of warranty reserves (included in accounts payable and accrued liabilities)</w:t>
      </w:r>
    </w:p>
    <w:p>
      <w:pPr>
        <w:spacing w:after="0" w:line="2" w:lineRule="exact"/>
        <w:rPr>
          <w:sz w:val="20"/>
          <w:szCs w:val="20"/>
          <w:color w:val="auto"/>
        </w:rPr>
      </w:pPr>
    </w:p>
    <w:p>
      <w:pPr>
        <w:ind w:left="240" w:right="180"/>
        <w:spacing w:after="0" w:line="245" w:lineRule="auto"/>
        <w:rPr>
          <w:sz w:val="20"/>
          <w:szCs w:val="20"/>
          <w:color w:val="auto"/>
        </w:rPr>
      </w:pPr>
      <w:r>
        <w:rPr>
          <w:rFonts w:ascii="Times New Roman" w:cs="Times New Roman" w:eastAsia="Times New Roman" w:hAnsi="Times New Roman"/>
          <w:sz w:val="16"/>
          <w:szCs w:val="16"/>
          <w:color w:val="auto"/>
        </w:rPr>
        <w:t>Long-term portion of warranty reserves (included in other long-term liabilities)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29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6"/>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9"/>
              </w:rPr>
              <w:t>6</w:t>
            </w:r>
          </w:p>
        </w:tc>
      </w:tr>
      <w:tr>
        <w:trPr>
          <w:trHeight w:val="216"/>
        </w:trPr>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9"/>
              </w:rPr>
              <w:t>1</w:t>
            </w:r>
          </w:p>
        </w:tc>
      </w:tr>
      <w:tr>
        <w:trPr>
          <w:trHeight w:val="219"/>
        </w:trPr>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60" w:type="dxa"/>
            <w:vAlign w:val="bottom"/>
          </w:tcPr>
          <w:p>
            <w:pPr>
              <w:jc w:val="center"/>
              <w:ind w:left="9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w w:val="99"/>
              </w:rPr>
              <w:t>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b w:val="1"/>
                <w:bCs w:val="1"/>
                <w:color w:val="auto"/>
                <w:w w:val="99"/>
              </w:rPr>
              <w:t>6</w:t>
            </w:r>
          </w:p>
        </w:tc>
      </w:tr>
      <w:tr>
        <w:trPr>
          <w:trHeight w:val="295"/>
        </w:trPr>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left="9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(2)</w:t>
            </w:r>
          </w:p>
        </w:tc>
      </w:tr>
      <w:tr>
        <w:trPr>
          <w:trHeight w:val="87"/>
        </w:trPr>
        <w:tc>
          <w:tcPr>
            <w:tcW w:w="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258"/>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9"/>
              </w:rPr>
              <w:t>5</w:t>
            </w:r>
          </w:p>
        </w:tc>
      </w:tr>
      <w:tr>
        <w:trPr>
          <w:trHeight w:val="73"/>
        </w:trPr>
        <w:tc>
          <w:tcPr>
            <w:tcW w:w="1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-1062355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-779145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-496570</wp:posOffset>
            </wp:positionV>
            <wp:extent cx="713232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4860" w:space="340"/>
            <w:col w:w="6040"/>
          </w:cols>
          <w:pgMar w:left="320" w:top="1440"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Warranty and other product-related claims continue to be monitored by management, and as of September 30, 2026, the warranty reserve balances associated with these matters are considered adequate to cover future warranty payments. However, it is possible that additional adjustments may be required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SELECTED SEGMENT DATA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defines its operating segments as those operations that engage in business activities from which revenues are earned and expenses incurred, for which discrete financial information is available, and that are regularly reviewed to analyze performance and allocate resources by the chief operating decision maker (“CODM”), the Company’s Chief Executive Officer. The Company conducts business through two reportable segments: Siding and Oriented Strand Board (OSB). Other comprises our South American operations and other products and services that are not individually significant.</w:t>
      </w:r>
    </w:p>
    <w:p>
      <w:pPr>
        <w:spacing w:after="0" w:line="180" w:lineRule="exact"/>
        <w:rPr>
          <w:sz w:val="20"/>
          <w:szCs w:val="20"/>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Siding segment serves diverse end markets with a broad product portfolio of engineered wood siding, trim, soffit, and fascia. Our Siding is offered primed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SmartSide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Trim &amp; Siding, LP BuilderSeries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Lap Siding, and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Outdoor Building Solutions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prefinished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SmartSide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ExpertFinish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Trim &amp; Siding) to meet the needs of builders and installers in new construction and repair and remodeling applications.</w:t>
      </w:r>
    </w:p>
    <w:p>
      <w:pPr>
        <w:spacing w:after="0" w:line="1" w:lineRule="exact"/>
        <w:rPr>
          <w:rFonts w:ascii="Times New Roman" w:cs="Times New Roman" w:eastAsia="Times New Roman" w:hAnsi="Times New Roman"/>
          <w:sz w:val="17"/>
          <w:szCs w:val="17"/>
          <w:color w:val="auto"/>
        </w:rPr>
      </w:pPr>
    </w:p>
    <w:p>
      <w:pPr>
        <w:jc w:val="both"/>
        <w:ind w:left="660" w:hanging="328"/>
        <w:spacing w:after="0" w:line="232"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Structural Solutions (which includes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FlameBlock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Fire-Rated Sheathing, LP BurnGuard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FRT OSB, LP WeatherLogic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Air &amp; Water Barrier,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TechShield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Radiant Barrier Sheathing, LP Legacy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Premium Sub-Flooring, and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TopNotch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350 Durable Sub-Flooring).</w:t>
      </w:r>
    </w:p>
    <w:p>
      <w:pPr>
        <w:spacing w:after="0" w:line="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of our business segments are evaluated based on segment Adjusted EBITDA, which the CODM uses to assess performance and make decisions regarding the allocation of operating and capital resources. Additionally, the budgeting and forecasting process monitors budget versus actual results, with emphasis on Adjusted EBITDA. Segment Adjusted EBITDA is defined as income attributed to LP excluding interest expense, provision for income taxes, depreciation and amortization, stock-based compensation expense, loss on impairment, business exit credits and charges, product-line discontinuance charges, other operating credits and charges, net, loss on early debt extinguishment, investment income, other non-operating income (expense), income from discontinued operations, net of income taxes, and net income attributed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Information regarding the Company’s business segments is presented below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4100" w:type="dxa"/>
            <w:vAlign w:val="bottom"/>
            <w:tcBorders>
              <w:bottom w:val="single" w:sz="8" w:color="auto"/>
            </w:tcBorders>
            <w:gridSpan w:val="7"/>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420" w:type="dxa"/>
            <w:vAlign w:val="bottom"/>
            <w:tcBorders>
              <w:bottom w:val="single" w:sz="8" w:color="auto"/>
            </w:tcBorders>
          </w:tcPr>
          <w:p>
            <w:pPr>
              <w:spacing w:after="0"/>
              <w:rPr>
                <w:sz w:val="18"/>
                <w:szCs w:val="18"/>
                <w:color w:val="auto"/>
              </w:rPr>
            </w:pPr>
          </w:p>
        </w:tc>
      </w:tr>
      <w:tr>
        <w:trPr>
          <w:trHeight w:val="211"/>
        </w:trPr>
        <w:tc>
          <w:tcPr>
            <w:tcW w:w="67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OSB</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Borders>
              <w:bottom w:val="single" w:sz="8" w:color="auto"/>
            </w:tcBorders>
          </w:tcPr>
          <w:p>
            <w:pPr>
              <w:spacing w:after="0"/>
              <w:rPr>
                <w:sz w:val="18"/>
                <w:szCs w:val="18"/>
                <w:color w:val="auto"/>
              </w:rPr>
            </w:pP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r>
      <w:tr>
        <w:trPr>
          <w:trHeight w:val="21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revenue</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8"/>
        </w:trPr>
        <w:tc>
          <w:tcPr>
            <w:tcW w:w="672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Other revenues</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consolidated revenues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691</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8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Less:</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Adjusted EBITDA</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r>
      <w:tr>
        <w:trPr>
          <w:trHeight w:val="21"/>
        </w:trPr>
        <w:tc>
          <w:tcPr>
            <w:tcW w:w="67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450"/>
        </w:trPr>
        <w:tc>
          <w:tcPr>
            <w:tcW w:w="6720" w:type="dxa"/>
            <w:vAlign w:val="bottom"/>
          </w:tcPr>
          <w:p>
            <w:pPr>
              <w:spacing w:after="0"/>
              <w:rPr>
                <w:sz w:val="24"/>
                <w:szCs w:val="24"/>
                <w:color w:val="auto"/>
              </w:rPr>
            </w:pPr>
          </w:p>
        </w:tc>
        <w:tc>
          <w:tcPr>
            <w:tcW w:w="4100" w:type="dxa"/>
            <w:vAlign w:val="bottom"/>
            <w:tcBorders>
              <w:bottom w:val="single" w:sz="8" w:color="auto"/>
            </w:tcBorders>
            <w:gridSpan w:val="7"/>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420" w:type="dxa"/>
            <w:vAlign w:val="bottom"/>
            <w:tcBorders>
              <w:bottom w:val="single" w:sz="8" w:color="auto"/>
            </w:tcBorders>
          </w:tcPr>
          <w:p>
            <w:pPr>
              <w:spacing w:after="0"/>
              <w:rPr>
                <w:sz w:val="24"/>
                <w:szCs w:val="24"/>
                <w:color w:val="auto"/>
              </w:rPr>
            </w:pPr>
          </w:p>
        </w:tc>
      </w:tr>
      <w:tr>
        <w:trPr>
          <w:trHeight w:val="211"/>
        </w:trPr>
        <w:tc>
          <w:tcPr>
            <w:tcW w:w="67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OSB</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Borders>
              <w:bottom w:val="single" w:sz="8" w:color="auto"/>
            </w:tcBorders>
          </w:tcPr>
          <w:p>
            <w:pPr>
              <w:spacing w:after="0"/>
              <w:rPr>
                <w:sz w:val="18"/>
                <w:szCs w:val="18"/>
                <w:color w:val="auto"/>
              </w:rPr>
            </w:pP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1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revenue</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8"/>
        </w:trPr>
        <w:tc>
          <w:tcPr>
            <w:tcW w:w="672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Other revenues</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consolidated revenues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663</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8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Less:</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Adjusted EBITDA</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r>
      <w:tr>
        <w:trPr>
          <w:trHeight w:val="20"/>
        </w:trPr>
        <w:tc>
          <w:tcPr>
            <w:tcW w:w="6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revenues include sales from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s South American operations and other products and services that are not individually significant.</w:t>
      </w:r>
    </w:p>
    <w:p>
      <w:pPr>
        <w:spacing w:after="0" w:line="20"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Other segment items include stock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4040" w:type="dxa"/>
            <w:vAlign w:val="bottom"/>
            <w:tcBorders>
              <w:bottom w:val="single" w:sz="8" w:color="auto"/>
            </w:tcBorders>
            <w:gridSpan w:val="7"/>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480" w:type="dxa"/>
            <w:vAlign w:val="bottom"/>
            <w:tcBorders>
              <w:bottom w:val="single" w:sz="8" w:color="auto"/>
            </w:tcBorders>
          </w:tcPr>
          <w:p>
            <w:pPr>
              <w:spacing w:after="0"/>
              <w:rPr>
                <w:sz w:val="18"/>
                <w:szCs w:val="18"/>
                <w:color w:val="auto"/>
              </w:rPr>
            </w:pPr>
          </w:p>
        </w:tc>
      </w:tr>
      <w:tr>
        <w:trPr>
          <w:trHeight w:val="211"/>
        </w:trPr>
        <w:tc>
          <w:tcPr>
            <w:tcW w:w="67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OSB</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tcBorders>
              <w:bottom w:val="single" w:sz="8" w:color="auto"/>
            </w:tcBorders>
          </w:tcPr>
          <w:p>
            <w:pPr>
              <w:spacing w:after="0"/>
              <w:rPr>
                <w:sz w:val="18"/>
                <w:szCs w:val="18"/>
                <w:color w:val="auto"/>
              </w:rPr>
            </w:pP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r>
      <w:tr>
        <w:trPr>
          <w:trHeight w:val="21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revenue</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8"/>
        </w:trPr>
        <w:tc>
          <w:tcPr>
            <w:tcW w:w="672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Other revenues</w:t>
            </w:r>
            <w:r>
              <w:rPr>
                <w:rFonts w:ascii="Times New Roman" w:cs="Times New Roman" w:eastAsia="Times New Roman" w:hAnsi="Times New Roman"/>
                <w:sz w:val="21"/>
                <w:szCs w:val="21"/>
                <w:color w:val="auto"/>
                <w:vertAlign w:val="superscript"/>
              </w:rPr>
              <w:t>1</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consolidated revenues</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Less: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Adjusted EBITDA</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275</w:t>
            </w:r>
          </w:p>
        </w:tc>
      </w:tr>
      <w:tr>
        <w:trPr>
          <w:trHeight w:val="20"/>
        </w:trPr>
        <w:tc>
          <w:tcPr>
            <w:tcW w:w="67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450"/>
        </w:trPr>
        <w:tc>
          <w:tcPr>
            <w:tcW w:w="6720" w:type="dxa"/>
            <w:vAlign w:val="bottom"/>
          </w:tcPr>
          <w:p>
            <w:pPr>
              <w:spacing w:after="0"/>
              <w:rPr>
                <w:sz w:val="24"/>
                <w:szCs w:val="24"/>
                <w:color w:val="auto"/>
              </w:rPr>
            </w:pPr>
          </w:p>
        </w:tc>
        <w:tc>
          <w:tcPr>
            <w:tcW w:w="4040" w:type="dxa"/>
            <w:vAlign w:val="bottom"/>
            <w:tcBorders>
              <w:bottom w:val="single" w:sz="8" w:color="auto"/>
            </w:tcBorders>
            <w:gridSpan w:val="7"/>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480" w:type="dxa"/>
            <w:vAlign w:val="bottom"/>
            <w:tcBorders>
              <w:bottom w:val="single" w:sz="8" w:color="auto"/>
            </w:tcBorders>
          </w:tcPr>
          <w:p>
            <w:pPr>
              <w:spacing w:after="0"/>
              <w:rPr>
                <w:sz w:val="24"/>
                <w:szCs w:val="24"/>
                <w:color w:val="auto"/>
              </w:rPr>
            </w:pPr>
          </w:p>
        </w:tc>
      </w:tr>
      <w:tr>
        <w:trPr>
          <w:trHeight w:val="211"/>
        </w:trPr>
        <w:tc>
          <w:tcPr>
            <w:tcW w:w="67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OSB</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tcBorders>
              <w:bottom w:val="single" w:sz="8" w:color="auto"/>
            </w:tcBorders>
          </w:tcPr>
          <w:p>
            <w:pPr>
              <w:spacing w:after="0"/>
              <w:rPr>
                <w:sz w:val="18"/>
                <w:szCs w:val="18"/>
                <w:color w:val="auto"/>
              </w:rPr>
            </w:pP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w:t>
            </w:r>
          </w:p>
        </w:tc>
      </w:tr>
      <w:tr>
        <w:trPr>
          <w:trHeight w:val="21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revenue</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8"/>
        </w:trPr>
        <w:tc>
          <w:tcPr>
            <w:tcW w:w="672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Other revenues</w:t>
            </w:r>
            <w:r>
              <w:rPr>
                <w:rFonts w:ascii="Times New Roman" w:cs="Times New Roman" w:eastAsia="Times New Roman" w:hAnsi="Times New Roman"/>
                <w:sz w:val="21"/>
                <w:szCs w:val="21"/>
                <w:color w:val="auto"/>
                <w:vertAlign w:val="superscript"/>
              </w:rPr>
              <w:t>1</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consolidated revenues</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2,141</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Less:</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9"/>
        </w:trPr>
        <w:tc>
          <w:tcPr>
            <w:tcW w:w="67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Adjusted EBITDA</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348</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100" w:hanging="92"/>
        <w:spacing w:after="0"/>
        <w:tabs>
          <w:tab w:leader="none" w:pos="1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revenues include sales from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s South American operations and other products and services that are not individually significant.</w:t>
      </w:r>
    </w:p>
    <w:p>
      <w:pPr>
        <w:spacing w:after="0" w:line="20"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Other segment items include stock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significant items and reconciles reportable segment Adjusted EBITDA to income before income taxes (dollar amounts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78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2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profit (loss)</w:t>
            </w: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Adjusted EBITDA</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2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Adjusted EBITDA</w:t>
            </w:r>
            <w:r>
              <w:rPr>
                <w:rFonts w:ascii="Times New Roman" w:cs="Times New Roman" w:eastAsia="Times New Roman" w:hAnsi="Times New Roman"/>
                <w:sz w:val="21"/>
                <w:szCs w:val="21"/>
                <w:color w:val="auto"/>
                <w:vertAlign w:val="superscript"/>
              </w:rPr>
              <w:t>1</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unconsolidated affiliate</w:t>
            </w:r>
          </w:p>
        </w:tc>
        <w:tc>
          <w:tcPr>
            <w:tcW w:w="10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0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Product-line discontinuance charges</w:t>
            </w:r>
          </w:p>
        </w:tc>
        <w:tc>
          <w:tcPr>
            <w:tcW w:w="10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income</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non-operating (expense) income</w:t>
            </w: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8"/>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w:t>
            </w:r>
          </w:p>
        </w:tc>
      </w:tr>
      <w:tr>
        <w:trPr>
          <w:trHeight w:val="22"/>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80" w:hanging="72"/>
        <w:spacing w:after="0"/>
        <w:tabs>
          <w:tab w:leader="none" w:pos="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Adjusted EBITDA includes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s South American operations, unallocated corporate expenses, and other products and services that are not individually significant.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identifiable assets by segment is as follows (dollar amounts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Identifiable Assets</w:t>
            </w:r>
          </w:p>
        </w:tc>
        <w:tc>
          <w:tcPr>
            <w:tcW w:w="22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Siding</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r>
      <w:tr>
        <w:trPr>
          <w:trHeight w:val="216"/>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OSB</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segment assets</w:t>
            </w: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1,950</w:t>
            </w:r>
          </w:p>
        </w:tc>
      </w:tr>
      <w:tr>
        <w:trPr>
          <w:trHeight w:val="218"/>
        </w:trPr>
        <w:tc>
          <w:tcPr>
            <w:tcW w:w="706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8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208"/>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2,646</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2,627</w:t>
            </w:r>
          </w:p>
        </w:tc>
      </w:tr>
      <w:tr>
        <w:trPr>
          <w:trHeight w:val="22"/>
        </w:trPr>
        <w:tc>
          <w:tcPr>
            <w:tcW w:w="7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80" w:hanging="72"/>
        <w:spacing w:after="0"/>
        <w:tabs>
          <w:tab w:leader="none" w:pos="8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assets include cash and cash equivalents, accounts receivable, South American assets, short-term and long-term investments, corporate assets,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“Risk Factors” and “Cautionary Statement Regarding Forward-Looking Statements” included in our 2025 Annual Report on Form 10-K and in this quarterly report on Form 10-Q. These risks and uncertainties could cause actual results to differ materially from those projected in the forward-looking statements contained in this quarterly report on Form 10-Q or implied by past results and trends. Our historical results are not necessarily indicative of the results that may be expected for any period in the future, and our interim results are not necessarily indicative of the results we expect for the full fiscal year or any other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reliability, and sustainability. Our manufacturing facilities are located in the U.S., Canada, Chile, and Brazil. To serve these markets, we operate in two reportable segments: Siding and Oriented Strand Board (OSB).</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for Building Products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Demand for our products correlates positively with new home construction, especially new single-family home construction, and repair and remodeling activity in North America, which historically has been characterized by significant cyclicality. The U.S. Census Bureau published actual U.S. housing starts data on October 20, 2026. Actual single-family housing starts were approximately 2% and 4% lower for the three and nine months ended September 30, 2026, respectively, as compared to the same periods in 2025. Actual multi-family housing starts for the three and nine months ended September 30, 2026, were approximately 9% lower and 6% higher, respectively, as compared to the same periods in 2025. Repair and remodeling demand is difficult to measure precisely due to diversity of remodeling projects, however, available market indicators suggest activity is roughly flat compared to the prior year.</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economic conditions in the United States and the demand for homes are uncertain due to various macroeconomic factors, including interest rates, employment levels, changing trade policy in various jurisdictions, consumer confidence, and financial markets, among other things. Additionally, we have experienced fluctuating material prices, supply disruptions, and labor challenges, which we continue to address as we work to meet the demands of builders, remodelers, and homeowners worldwide.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Siding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Siding products are specialty building materials and are subject to competition from various siding and cladding technologies, including vinyl, stucco, wood, fiber cement, brick, and others. We believe we are the largest manufacturer of engineered wood siding in North America and South America. We have consistently grown our Siding segment above the underlying market growth rates. Our Siding segment is generally less sensitive to housing market cyclicality since a majority of its demand comes from other markets, including off-site structure producers and repair and remodel. Our growth in this segment depends upon the continued displacement of vinyl, wood, fiber cement, stucco, bricks, and other alternatives, our product innovation, and our technological expertise in wood and wood composites to address the needs of our customers.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OSB</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OSB is a commodity product, and it is subject to competition from manufacturers worldwide. Product supply is influenced primarily by fluctuations in available manufacturing capacity and imports. The ratio of overall OSB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to capacity generally drives prices. We cannot predict whether the prices of our OSB products will remain at current levels or fluctuate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1 of the Notes to the Consolidated Financial Statements included in our 2025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application of principles, methods, and assumptions used to determine our significant estimates since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and Other Key Performance Indicators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evaluating the Company’s performance using U.S. GAAP measures, management utilizes certain non-GAAP financial measures as defined by SEC Regulation G and Regulation S-K Item 10(e). These measures exclude the impact of specific costs, expenses, gains, and losses to evaluate our overall operating performance. Management believes these non-GAAP measures provide users of the financial information with additional meaningful comparison to prior periods, as they generally exclude items that are outside of the normal course of our business or beyond management’s control. It is important to note that non-GAAP financial measures do not have standardized definitions and are not defined by U.S. GAAP. In this quarterly report on Form 10-Q, Adjusted EBITDA, Adjusted Income, and Adjusted Diluted EPS (as each defined below) are non-GAAP measures that are used by management and external users of our condensed consolidated financial statements such as investors, industry analysts, and lenders.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is defined as net income excluding interest expense, provision for income taxes, depreciation and amortization, stock-based compensation expense, loss on impairment, business exit credits and charges, product-line discontinuance charges, other operating credits and charges, net, loss on early debt extinguishment, investment income, other non-operating income (expense), income from discontinued operations, net of income taxes, and net income attributed to noncontrolling interest.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Income is defined as net income, excluding loss on impairment, business exit credits and charges, product-line discontinuance charges, interest expense outside of normal operations, other operating credits and charges, net, loss on early debt extinguishment, gain (loss) on acquisition, income from discontinued operations, net of income taxes, net income attributed to noncontrolling interest, foreign currency gains and losses, and adjusting for a normalized tax rate. Adjusted Diluted EPS is calculated as Adjusted Income divided by diluted shares outstanding, which is a non-GAAP financial measure. We believe that Adjusted Diluted EPS and Adjusted Income are useful measures for evaluating our ability to generate earnings and that providing these measures should allow interested persons to more readily compare the earnings for past and future periods.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quarter of 2026, the Company updated the definition of Adjusted Income to exclude foreign currency gains and losses. These gains and losses primarily arise from the remeasurement of all monetary assets and liabilities including intercompany notes that are denominated in a different currency than the entity's functional currency. The exclusion of these items helps management compare changes in operating results between periods that might otherwise be obscured due to currency fluctuations. The Company believes this exclusion provides investors with a clearer view of underlying operating performance by removing the effects of currency fluctuations that are largely outside of the Company’s control and do not reflect its core business activities. For comparability and consistency, all prior period Adjusted Income and Adjusted Diluted EPS measures have been recast to conform to the current presentation. The impact of this update for the three and nine months ended September 30, 2025, was an increase to Adjusted Income of $1 million and $10 million, respectively, and an increase to Adjusted Diluted EPS of $0.01 per share and $0.14 per share, respectively.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Reconciliations of Adjusted EBITDA, Adjusted Income, and Adjusted Diluted EPS to their most directly comparable U.S. GAAP financial measures, net income and net income per share of common stock - diluted, respectively, are presented below. Adjusted EBITDA, Adjusted Income, and Adjusted Diluted EPS are not substitutes for the U.S. GAAP measures of net income and net income per share of common stock - diluted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Product-line discontinuance charges</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income</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non-operating expense (income)</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9"/>
        </w:trPr>
        <w:tc>
          <w:tcPr>
            <w:tcW w:w="5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Siding</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OSB</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Income (dollar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2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 - diluted</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r>
      <w:tr>
        <w:trPr>
          <w:trHeight w:val="270"/>
        </w:trPr>
        <w:tc>
          <w:tcPr>
            <w:tcW w:w="5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Product-line discontinuance charges</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(gain) loss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Reported tax provision</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income before tax</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257</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Normalized tax provision at 25%</w:t>
            </w: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8"/>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Income</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shares outstanding</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6"/>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Diluted EPS</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0.39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0.37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w:t>
            </w:r>
          </w:p>
        </w:tc>
      </w:tr>
      <w:tr>
        <w:trPr>
          <w:trHeight w:val="21"/>
        </w:trPr>
        <w:tc>
          <w:tcPr>
            <w:tcW w:w="5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management monitors certain key performance indicators to evaluate our business performance, which include our Overall Equipment Effectiveness (OEE) and our sales volume relative to housing starts, as provided by reports from the U.S. Census Bureau.</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summary data relating to: (i) housing starts within the United States, (ii) our sales volumes, and (iii) our OEE performance. We consider these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U.S. GAAP. These measures may not be comparable to similarly titled performance indicators used by other companies.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performance indicators reported by other companies.</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actual housing starts data reported by the U.S. Census Bureau, as published through October 20, 2026, for the three and nine months ended September 30, 2026 and 2025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30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98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18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Single-Family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1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36"/>
        </w:trPr>
        <w:tc>
          <w:tcPr>
            <w:tcW w:w="5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356</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sales volumes for our products in our Siding and OSB segments, which we define as the amount of our products sold within the applicable period measured in million square feet (MMSF) on a standard 3/8" thickness basis.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sales volumes for the three and nine months ended September 30, 2026 and 2025 (in MMSF):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98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Siding sales volume</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477</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1,403</w:t>
            </w:r>
          </w:p>
        </w:tc>
      </w:tr>
      <w:tr>
        <w:trPr>
          <w:trHeight w:val="272"/>
        </w:trPr>
        <w:tc>
          <w:tcPr>
            <w:tcW w:w="5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1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r>
      <w:tr>
        <w:trPr>
          <w:trHeight w:val="21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r>
      <w:tr>
        <w:trPr>
          <w:trHeight w:val="206"/>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OSB sales volume</w:t>
            </w: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811</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755</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2,279</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We use a best-in-class target across all LP sites that allows us to optimize capital investments, focus on maintenance and reliability improvements, and improve OEE. It should be noted that other companies may present OEE data differently, and therefore, as presented by us, OEE data may not be comparable to similarly titled measures reported by other companies.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OEE for the three and nine months ended September 30, 2026 and 2025, for each of our reportable segments is listed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32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14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8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1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conducts business through two reportable segments: Siding and OSB. Other comprises our South American operations and other products and services that are not individually significant. See “Note 11. Selected Segment Data” of the Notes to the Condensed Consolidated Financial Statements included in “Item 1. Financial Statements” of this quarterly report on Form 10-Q for further information regarding our segments.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Siding</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Siding segment serves diverse end markets with a broad product portfolio of engineered wood siding, trim, soffit, and fascia. Our Siding is offered primed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 BuilderSeries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Lap Siding,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Outdoor Building Solutions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prefinished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ExpertFinish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to meet the needs of builders and installers in new construction and repair and remodeling applications.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4040" w:type="dxa"/>
            <w:vAlign w:val="bottom"/>
            <w:gridSpan w:val="9"/>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60" w:type="dxa"/>
            <w:vAlign w:val="bottom"/>
            <w:gridSpan w:val="6"/>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7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800" w:type="dxa"/>
            <w:vAlign w:val="bottom"/>
            <w:gridSpan w:val="8"/>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3460" w:type="dxa"/>
            <w:vAlign w:val="bottom"/>
            <w:gridSpan w:val="6"/>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7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3"/>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35"/>
        </w:trPr>
        <w:tc>
          <w:tcPr>
            <w:tcW w:w="3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1,305</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Percent changes in average net selling prices and unit shipments in Siding for the three and nine months ended September 30, 2026, compared to the corresponding periods in 2025,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328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2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70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2026 versus 2025</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September 30, 2026 versus 2025</w:t>
            </w:r>
          </w:p>
        </w:tc>
      </w:tr>
      <w:tr>
        <w:trPr>
          <w:trHeight w:val="157"/>
        </w:trPr>
        <w:tc>
          <w:tcPr>
            <w:tcW w:w="3700" w:type="dxa"/>
            <w:vAlign w:val="bottom"/>
          </w:tcPr>
          <w:p>
            <w:pPr>
              <w:spacing w:after="0"/>
              <w:rPr>
                <w:sz w:val="13"/>
                <w:szCs w:val="13"/>
                <w:color w:val="auto"/>
              </w:rPr>
            </w:pPr>
          </w:p>
        </w:tc>
        <w:tc>
          <w:tcPr>
            <w:tcW w:w="142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800" w:type="dxa"/>
            <w:vAlign w:val="bottom"/>
          </w:tcPr>
          <w:p>
            <w:pPr>
              <w:jc w:val="right"/>
              <w:ind w:right="679"/>
              <w:spacing w:after="0" w:line="158" w:lineRule="exact"/>
              <w:rPr>
                <w:sz w:val="20"/>
                <w:szCs w:val="20"/>
                <w:color w:val="auto"/>
              </w:rPr>
            </w:pPr>
            <w:r>
              <w:rPr>
                <w:rFonts w:ascii="Times New Roman" w:cs="Times New Roman" w:eastAsia="Times New Roman" w:hAnsi="Times New Roman"/>
                <w:sz w:val="16"/>
                <w:szCs w:val="16"/>
                <w:color w:val="auto"/>
              </w:rPr>
              <w:t>Unit</w:t>
            </w:r>
          </w:p>
        </w:tc>
      </w:tr>
      <w:tr>
        <w:trPr>
          <w:trHeight w:val="213"/>
        </w:trPr>
        <w:tc>
          <w:tcPr>
            <w:tcW w:w="3700" w:type="dxa"/>
            <w:vAlign w:val="bottom"/>
          </w:tcPr>
          <w:p>
            <w:pPr>
              <w:spacing w:after="0"/>
              <w:rPr>
                <w:sz w:val="18"/>
                <w:szCs w:val="18"/>
                <w:color w:val="auto"/>
              </w:rPr>
            </w:pPr>
          </w:p>
        </w:tc>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Shipments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18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4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Siding net sales increased for the three months ended September 30, 2026, due to higher sales volumes and net selling prices. Net sales for the nine months ended September 30, 2026 decreased compared to prior year due to lower sales volumes, partially offset by higher prices.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increased by $1 million in the three months ended September 30, 2026 compared with the prior-year quarter. The improvement was driven by $23 million of net price gains, $4 million from higher sales volumes, and a $2 million decrease in marketing expense, partially offset by a $19 million increase in raw material, freight, and labor costs, along with $6 million of maintenance-related costs and $3 million of unfavorable inventory reduction impacts.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declined by $15 million for the nine months ended September 30, 2026 compared with the same period in 2025. Net price increases contributed $77 million, while lower sales volumes reduced results by $55 million. In addition, raw material, freight, and labor costs increased by $35 million, primarily driven by higher crude oil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OSB</w:t>
      </w:r>
    </w:p>
    <w:p>
      <w:pPr>
        <w:spacing w:after="0" w:line="22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Structural Solutions (which includes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FlameBlock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Fire-Rated Sheathing, LP BurnGuard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FRT OSB, LP WeatherLogic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 &amp; Water Barrier,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Radiant Barrier Sheathing, LP Legacy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Premium Sub-Flooring,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TopNotch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350 Durable Sub-Flooring).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4020" w:type="dxa"/>
            <w:vAlign w:val="bottom"/>
            <w:gridSpan w:val="9"/>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40" w:type="dxa"/>
            <w:vAlign w:val="bottom"/>
            <w:gridSpan w:val="6"/>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7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800" w:type="dxa"/>
            <w:vAlign w:val="bottom"/>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3460" w:type="dxa"/>
            <w:vAlign w:val="bottom"/>
            <w:gridSpan w:val="6"/>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7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08"/>
        </w:trPr>
        <w:tc>
          <w:tcPr>
            <w:tcW w:w="37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1 %</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696</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r>
      <w:tr>
        <w:trPr>
          <w:trHeight w:val="22"/>
        </w:trPr>
        <w:tc>
          <w:tcPr>
            <w:tcW w:w="3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Percent changes in average net selling prices and unit shipments in OSB for the three and nine months ended September 30, 2026, compared to the corresponding periods in 2025,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2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72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2026 versus 2025</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 2026 versus 2025</w:t>
            </w:r>
          </w:p>
        </w:tc>
      </w:tr>
      <w:tr>
        <w:trPr>
          <w:trHeight w:val="157"/>
        </w:trPr>
        <w:tc>
          <w:tcPr>
            <w:tcW w:w="3720" w:type="dxa"/>
            <w:vAlign w:val="bottom"/>
          </w:tcPr>
          <w:p>
            <w:pPr>
              <w:spacing w:after="0"/>
              <w:rPr>
                <w:sz w:val="13"/>
                <w:szCs w:val="13"/>
                <w:color w:val="auto"/>
              </w:rPr>
            </w:pPr>
          </w:p>
        </w:tc>
        <w:tc>
          <w:tcPr>
            <w:tcW w:w="138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78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color w:val="auto"/>
              </w:rPr>
              <w:t>Unit</w:t>
            </w:r>
          </w:p>
        </w:tc>
      </w:tr>
      <w:tr>
        <w:trPr>
          <w:trHeight w:val="213"/>
        </w:trPr>
        <w:tc>
          <w:tcPr>
            <w:tcW w:w="3720" w:type="dxa"/>
            <w:vAlign w:val="bottom"/>
          </w:tcPr>
          <w:p>
            <w:pPr>
              <w:spacing w:after="0"/>
              <w:rPr>
                <w:sz w:val="18"/>
                <w:szCs w:val="18"/>
                <w:color w:val="auto"/>
              </w:rPr>
            </w:pPr>
          </w:p>
        </w:tc>
        <w:tc>
          <w:tcPr>
            <w:tcW w:w="1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Shipments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17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3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OSB net sales increased year over year by $1 million, primarily driven by higher sales volumes, offset by a decline in OSB prices. For the nine months ended September 30, 2026, net sales decreased by $166 million as compared to the same period in the prior year, driven by a decline in OSB prices and sales volumes.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2026, increased by $3 million year over year, due to $14 million of lower inventory reserve adjustments and a decrease of $1 million in selling, general and administrative expenses. These gains were partially offset by a $7 million impact from lower OSB prices and an additional $7 million impact from higher inflationary costs, primarily related to raw materials. Adjusted EBITDA for the nine months ended September 30, 2026 decreased by $104 million compared to the same period in 2025, reflecting the impact of lower OSB prices and a decline in sales volumes.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operations include our South American business that manufactures and distributes OSB structural panels and siding products in South America and certain export markets. Other operations also include timber and timberlands as well as other products, services, and closed operations, which do not qualify as discontinued operations. Additionally, Other includes unallocated corporate expenses.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net sales decreased by $3 million and $15 million, for the three and nine months ended September 30, 2026, respectively, primarily due to a decline in volumes and selling prices in South America. Adjusted EBITDA for the same periods decreased year over yea</w:t>
      </w:r>
      <w:r>
        <w:rPr>
          <w:rFonts w:ascii="Times New Roman" w:cs="Times New Roman" w:eastAsia="Times New Roman" w:hAnsi="Times New Roman"/>
          <w:sz w:val="18"/>
          <w:szCs w:val="18"/>
          <w:color w:val="auto"/>
          <w:strike w:val="1"/>
        </w:rPr>
        <w:t>r</w:t>
      </w:r>
      <w:r>
        <w:rPr>
          <w:rFonts w:ascii="Times New Roman" w:cs="Times New Roman" w:eastAsia="Times New Roman" w:hAnsi="Times New Roman"/>
          <w:sz w:val="18"/>
          <w:szCs w:val="18"/>
          <w:color w:val="auto"/>
        </w:rPr>
        <w:t xml:space="preserve"> by $4 million and $24 million, respectively, driven by a decline in South America net sales along with higher costs incurred in that market.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$76 million and $235 million for the three and nine months ended September 30, 2026, respectively, compared to $95 million and $250 million for the corresponding periods in 2025. The year-over-year reduction in selling, general, and administrative expenses primarily reflected lower incentive pay, including a decline in stock compensation.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a total tax provision of $9 million and $26 million in the three and nine months ended September 30, 2026, respectively, compared to $9 million and $54 million for the corresponding periods in 2025. Each quarter, the income tax accrual is updated based on the latest estimate, and any difference from the previously accrued year-to-date balance is recorded in the current quarter. For the nine months ended September 30, 2026, the primary differences between the U.S. statutory rate of 21% and the total effective tax rate of 25% relate to foreign income tax, tax credits, and inflationary and foreign currency exchange-related effects. For the nine months ended September 30, 2025, the primary differences between the U.S. statutory rate of 21% and the total effective tax rate of 26% relate to state income tax and non-deductible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Environmental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legal and environmental matters involving us and the potential impact thereof on our financial position, results of operations, and cash flows, see Items 3, 7, and 8 in our 2025 Annual Report on Form 10-K and “Note 9. Commitments and Contingencies” of the Notes to the Condensed Consolidated Financial Statements included in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that long-term cash uses may also include strategic acquisitions. On a long-term basis, we expect to rely on our credit facilities in effect from time to time for any long-term funding not provided by operating cash flows. We may also, from time to time, issue and sell equity, debt, or hybrid securities or engage in other capital market transactions.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share repurchases may be commenced, suspended, discontinued, or resumed, and the method or methods of effecting any such repurchases may be changed, at any time, or from time to time, without prior notice.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fund our capital expenditures over at least the next 12 months through cash on hand, cash generated from operations, and available borrowing under our Amended Credit Facility, as necessary.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cash provided by operations was $214 million compared to $315 million during the same period in 2025. The decrease was primarily attributable to lower net income and the absence of the prior-year impairment charge, partially offset by changes in working capital.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cash used in investing activities was $175 million and $216 million, respectively, relating to capital expenditures.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in 2026 are expected to be approximately $300 million. We expect to fund our short-term and long-term capital expenditures in 2026 through cash on hand, cash generated from operations, and available borrowing under our Amended Credit Facility, as necessary.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cash used in financing activities was $67 million, which included $63 million of cash dividends paid and $5 million to satisfy income tax withholding obligations related to employee stock-based compensation plans through the withholding of shares.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financing activities was $124 million, which included $61 million for share repurchases of LP common stock under the 2024 Share Repurchase Program (as defined below). Additionally, we paid cash dividends of $58 million and used $3 million to satisfy income tax withholding obligations related to employee stock-based compensation plans through the withholding of shares. In connection with other financing activities, we paid $2 million of debt issuance costs related to the amendment of our credit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Letter of Credit Facility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2022, LP entered into the Credit Agreement with American AgCredit, PCA, as administrative agent and sole lead arranger, CoBank, ACB, as letter of credit issuer, and certain other lender parties, relating to its revolving credit facility. On March 26, 2025, LP entered into the First Amendment with American AgCredit, PCA, as administrative agent, CoBank, ACB, as letter of credit issuer, and the lenders and voting participants party thereto, which amended the Credit Agreement (the Amended Credit Agreement) to (1) increase the aggregate principal amount for the Amended Credit Facility from $550 million to $750 million, (2) increase the sub-limit for letters of credit from $60 million to $75 million, (3) change the interest rate for revolving borrowing, (4) change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capitalization ratio limit, and (5) extend the maturity date to March 26, 2032. As of September 30, 2026, there were no outstanding borrowings under the Amended Credit Facility.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various restrictive covenants and customary events of default, the occurrence of which could result in the acceleration of our obligation to repay the indebtedness outstanding thereunder. The Amended Credit Agreement also contains financial covenants that, among other things, require us and our consolidated subsidiaries to have, as of the end of each quarter, a capitalization ratio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funded debt less unrestricted cash to total capitalization) of no more than 65%. As of September 30, 2026, we were in compliance with all financial covenants under the Amended Credit Agreement.</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2024, LP entered into a new letter of credit facility agreement (the LOC Facility Agreement), replacing the letter of credit facility agreement dated May 2020. The LOC Facility Agreement provides for the funding of letters of credit up to an aggregate outstanding amount of $20 million, which may be secured by certain cash collateral of LP (the Letter of Credit Facility). The LOC Facility Agreement provides for a letter of credit fee, due quarterly, ranging from 1.000% to 1.875% of the daily available amount to be drawn on each letter of credit issued under the Letter of Credit Facility. The LOC Facility Agreement contains similar affirmative, negative, and financial covenants as those set forth in the Amended Credit Agreement, including the capitalization ratio covenant. All amounts outstanding under the Letter of Credit Facility become due on April 15, 2029. As of September 30, 2026, we were in compliance with all covenants under the Letter of Credit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we had standby letters of credit of $15 million outstanding related to collateral for environmental impact on owned properties, a deposit for a forestry license, and insurance collateral, including workers’ compensation.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Impairments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carrying values of our long-lived assets are reviewed for potential impairments, and adequate support is believed by management to exist for each asset’s carrying value based on anticipated cash flows derived from estimates of future demand, pricing, and production costs, assuming certain levels of planned capital expenditures. However, if demand and pricing for our products fall to levels significantly below cycle-average demand and pricing, should we decide to invest capital in alternative projects, or should changes occur related to our wood supply for our mills, it is possible that future impairment charges will be required. During the third quarter of 2026, it was announced that OSB production at the Jasper, Texas facility would be indefinitely curtailed. As of September 30, 2026, there were no indicators of impairment for the asset group that included the facility; accordingly, no impairment was recognized.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changes to our strategic plans, including decisions regarding the continued use or disposition of specific assets, are also periodically evaluated, taking into account current and anticipated economic and industry conditions, and other relevant factors. Such decisions may require management to revise assumptions regarding expected future cash flows or estimated recoverable values. If revised estimates indicate that the carrying amount of an asset is not recoverable, impairment charges may be required.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was recognized during the three and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fluctuations in foreign currency exchange rates, commodity prices and interest rates which could impact our results of operations and financial condition.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although we may do so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for OSB previously disclosed under the caption “Item 7A. Quantitative and Qualitative Disclosures about Market Risk” in our 2025 Annual Report on Form 10-K. Following the curtailment of our Jasper facility, annualized capacity is expected to be approximately 3.6 billion square feet (3/8” basis) or 3.1 billion square feet (7/16” basis). As a result, a $1 change in the annual average price per thousand square feet on 7/16” basis would change annual pre-tax profits by approximately $3 million. We historically have not entered into material commodity futures and swaps, but we may do so in the future.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could be exposed to market risk associated with changes in interest rates on our variable rate credit facility. As of September 30, 2026, there were no outstanding borrowings under our Amended Credit Facility. We do not currently have any derivative or hedging arrangements, or other known exposures, to changes in interest rates. There have been no material changes to the interest rate sensitivity analysis previously disclosed under the caption “Item 7A. Quantitative and Qualitative Disclosures about Market Risk” in our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September 30, 2026, LP’s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recently completed fiscal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certain legal and environmental matters involving LP set forth in “Item 1. Financial Statements” of this quarterly report on Form 10-Q under “Note 9. Commitments and Contingencies” of the Notes to the Condensed Consolidated Financial Statements contained herein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an investor should carefully consider the factors discussed in Part I, “Item 1A. Risk Factors” of the Company’s 2025 Annual Report on Form 10-K. There have been no material changes to the risk factors previously disclosed under the caption “Item 1A. Risk Factors” in Part I of our 2025 Annual Report on Form 10-K.</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risks described in our 2025 Annual Report on Form 10-K are not the only risks facing the Company. Additional risks and uncertainties not currently known to us or that we currently deem immaterial may also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spacing w:after="0" w:line="200" w:lineRule="exact"/>
        <w:rPr>
          <w:sz w:val="20"/>
          <w:szCs w:val="20"/>
          <w:color w:val="auto"/>
        </w:rPr>
      </w:pP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2024, our Board of Directors authorized a share repurchase program under which LP was authorized to repurchase up to $250 million of its outstanding common stock (the 2024 Share Repurchase Program). We did not make any repurchases of LP common stock pursuant to the 2024 Share Repurchase Program or otherwise during the quarter ended September 30, 2026. At September 30, 2026, we had an aggregate of $177 million of repurchase authorization remaining under the 2024 Share Repurchase Program. LP may initiate, discontinue, or resume purchases of its common stock under the 2024 Share Repurchase Program in the open market, in block, and in privately negotiated transactions, including under Rule 10b5-1 plans, at such times and in such amounts as management deems appropriate without prior notice, subject to market and business conditions, regulatory requirements, and other factors.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(as defined in Section 16 of the Exchange Act) adopted, modified or terminated a “Rule 10b5-1 trading arrangement” or a “non-Rule 10b5-1 trading arrangement” (each as defined in Item 408 of Regulation S-K) during the quarter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0" w:type="dxa"/>
            <w:vAlign w:val="bottom"/>
          </w:tcPr>
          <w:p>
            <w:pPr>
              <w:spacing w:after="0"/>
              <w:rPr>
                <w:sz w:val="20"/>
                <w:szCs w:val="20"/>
                <w:color w:val="auto"/>
              </w:rPr>
            </w:pPr>
          </w:p>
        </w:tc>
        <w:tc>
          <w:tcPr>
            <w:tcW w:w="100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7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E32E1"/>
              </w:rPr>
              <w:t>31.</w:t>
            </w:r>
            <w:r>
              <w:rPr>
                <w:rFonts w:ascii="Times New Roman" w:cs="Times New Roman" w:eastAsia="Times New Roman" w:hAnsi="Times New Roman"/>
                <w:sz w:val="18"/>
                <w:szCs w:val="18"/>
                <w:u w:val="single" w:color="auto"/>
                <w:color w:val="0E32E1"/>
              </w:rPr>
              <w:t>1</w:t>
            </w:r>
          </w:p>
        </w:tc>
        <w:tc>
          <w:tcPr>
            <w:tcW w:w="280" w:type="dxa"/>
            <w:vAlign w:val="bottom"/>
          </w:tcPr>
          <w:p>
            <w:pPr>
              <w:spacing w:after="0"/>
              <w:rPr>
                <w:sz w:val="24"/>
                <w:szCs w:val="24"/>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E32E1"/>
              </w:rPr>
              <w:t>Certifications of Chief Executive Officer Pursuant to Rule 13a-14(a) under the Securities Exchange Act of 1934. *</w:t>
            </w:r>
          </w:p>
        </w:tc>
        <w:tc>
          <w:tcPr>
            <w:tcW w:w="0" w:type="dxa"/>
            <w:vAlign w:val="bottom"/>
          </w:tcPr>
          <w:p>
            <w:pPr>
              <w:spacing w:after="0"/>
              <w:rPr>
                <w:sz w:val="1"/>
                <w:szCs w:val="1"/>
                <w:color w:val="auto"/>
              </w:rPr>
            </w:pPr>
          </w:p>
        </w:tc>
      </w:tr>
      <w:tr>
        <w:trPr>
          <w:trHeight w:val="20"/>
        </w:trPr>
        <w:tc>
          <w:tcPr>
            <w:tcW w:w="46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E32E1"/>
          </w:tcPr>
          <w:p>
            <w:pPr>
              <w:spacing w:after="0" w:line="20" w:lineRule="exact"/>
              <w:rPr>
                <w:sz w:val="1"/>
                <w:szCs w:val="1"/>
                <w:color w:val="auto"/>
              </w:rPr>
            </w:pPr>
          </w:p>
        </w:tc>
        <w:tc>
          <w:tcPr>
            <w:tcW w:w="3220" w:type="dxa"/>
            <w:vAlign w:val="bottom"/>
            <w:shd w:val="clear" w:color="auto" w:fill="0E32E1"/>
          </w:tcPr>
          <w:p>
            <w:pPr>
              <w:spacing w:after="0" w:line="20" w:lineRule="exact"/>
              <w:rPr>
                <w:sz w:val="1"/>
                <w:szCs w:val="1"/>
                <w:color w:val="auto"/>
              </w:rPr>
            </w:pPr>
          </w:p>
        </w:tc>
        <w:tc>
          <w:tcPr>
            <w:tcW w:w="190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E32E1"/>
              </w:rPr>
              <w:t>31.</w:t>
            </w:r>
            <w:r>
              <w:rPr>
                <w:rFonts w:ascii="Times New Roman" w:cs="Times New Roman" w:eastAsia="Times New Roman" w:hAnsi="Times New Roman"/>
                <w:sz w:val="18"/>
                <w:szCs w:val="18"/>
                <w:u w:val="single" w:color="auto"/>
                <w:color w:val="0E32E1"/>
              </w:rPr>
              <w:t>2</w:t>
            </w:r>
          </w:p>
        </w:tc>
        <w:tc>
          <w:tcPr>
            <w:tcW w:w="280" w:type="dxa"/>
            <w:vAlign w:val="bottom"/>
          </w:tcPr>
          <w:p>
            <w:pPr>
              <w:spacing w:after="0"/>
              <w:rPr>
                <w:sz w:val="22"/>
                <w:szCs w:val="22"/>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E32E1"/>
              </w:rPr>
              <w:t>Certifications of Chief Financial Officer Pursuant to Rule 13a-14(a) under the Securities Exchange Act of 1934. *</w:t>
            </w:r>
          </w:p>
        </w:tc>
        <w:tc>
          <w:tcPr>
            <w:tcW w:w="0" w:type="dxa"/>
            <w:vAlign w:val="bottom"/>
          </w:tcPr>
          <w:p>
            <w:pPr>
              <w:spacing w:after="0"/>
              <w:rPr>
                <w:sz w:val="1"/>
                <w:szCs w:val="1"/>
                <w:color w:val="auto"/>
              </w:rPr>
            </w:pPr>
          </w:p>
        </w:tc>
      </w:tr>
      <w:tr>
        <w:trPr>
          <w:trHeight w:val="20"/>
        </w:trPr>
        <w:tc>
          <w:tcPr>
            <w:tcW w:w="46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E32E1"/>
          </w:tcPr>
          <w:p>
            <w:pPr>
              <w:spacing w:after="0" w:line="20" w:lineRule="exact"/>
              <w:rPr>
                <w:sz w:val="1"/>
                <w:szCs w:val="1"/>
                <w:color w:val="auto"/>
              </w:rPr>
            </w:pPr>
          </w:p>
        </w:tc>
        <w:tc>
          <w:tcPr>
            <w:tcW w:w="3220" w:type="dxa"/>
            <w:vAlign w:val="bottom"/>
            <w:shd w:val="clear" w:color="auto" w:fill="0E32E1"/>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E32E1"/>
                <w:w w:val="99"/>
              </w:rPr>
              <w:t>32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E32E1"/>
              </w:rPr>
              <w:t>Certifications pursuant to § 906 of the Sarbanes-Oxley Act of 2002. **</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E32E1"/>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gridSpan w:val="4"/>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101.INS</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149"/>
        </w:trPr>
        <w:tc>
          <w:tcPr>
            <w:tcW w:w="1000" w:type="dxa"/>
            <w:vAlign w:val="bottom"/>
            <w:gridSpan w:val="4"/>
            <w:vMerge w:val="continue"/>
          </w:tcPr>
          <w:p>
            <w:pPr>
              <w:spacing w:after="0"/>
              <w:rPr>
                <w:sz w:val="12"/>
                <w:szCs w:val="12"/>
                <w:color w:val="auto"/>
              </w:rPr>
            </w:pPr>
          </w:p>
        </w:tc>
        <w:tc>
          <w:tcPr>
            <w:tcW w:w="101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1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0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101.SCH</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101.PRE</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6"/>
              </w:rPr>
              <w:t>104</w:t>
            </w:r>
          </w:p>
        </w:tc>
        <w:tc>
          <w:tcPr>
            <w:tcW w:w="280" w:type="dxa"/>
            <w:vAlign w:val="bottom"/>
          </w:tcPr>
          <w:p>
            <w:pPr>
              <w:spacing w:after="0"/>
              <w:rPr>
                <w:sz w:val="24"/>
                <w:szCs w:val="24"/>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 and contained in Exhibit 101)*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37" w:name="page38"/>
    <w:bookmarkEnd w:id="3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LOUISIANA-PACIFIC CORPORATION</w:t>
      </w:r>
    </w:p>
    <w:p>
      <w:pPr>
        <w:spacing w:after="0" w:line="293" w:lineRule="exact"/>
        <w:rPr>
          <w:sz w:val="20"/>
          <w:szCs w:val="20"/>
          <w:color w:val="auto"/>
        </w:rPr>
      </w:pPr>
    </w:p>
    <w:p>
      <w:pPr>
        <w:ind w:left="20"/>
        <w:spacing w:after="0"/>
        <w:tabs>
          <w:tab w:leader="none" w:pos="920" w:val="left"/>
          <w:tab w:leader="none" w:pos="5440" w:val="left"/>
          <w:tab w:leader="none" w:pos="7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 Leslie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Leslie E. Davis</w:t>
      </w:r>
    </w:p>
    <w:p>
      <w:pPr>
        <w:spacing w:after="0" w:line="4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Vice President, Controller and Chief Accounting Officer</w:t>
      </w:r>
    </w:p>
    <w:p>
      <w:pPr>
        <w:spacing w:after="0" w:line="4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3"/>
          <w:szCs w:val="13"/>
          <w:i w:val="1"/>
          <w:iCs w:val="1"/>
          <w:color w:val="auto"/>
        </w:rPr>
        <w:t>(Duly Authorized Officer and Principal Accounting Officer)</w:t>
      </w:r>
    </w:p>
    <w:p>
      <w:pPr>
        <w:sectPr>
          <w:pgSz w:w="11900" w:h="16838" w:orient="portrait"/>
          <w:cols w:equalWidth="0" w:num="1">
            <w:col w:w="11080"/>
          </w:cols>
          <w:pgMar w:left="320" w:top="1413" w:right="4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 Ringblom,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P. Ringblom</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Jason P. Ringblom</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Howald, certify that:</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Aaron Howald</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Aaron Howald</w:t>
            </w:r>
          </w:p>
        </w:tc>
      </w:tr>
      <w:tr>
        <w:trPr>
          <w:trHeight w:val="230"/>
        </w:trPr>
        <w:tc>
          <w:tcPr>
            <w:tcW w:w="570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 18 U.S.C. § 1350 as Adopted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in connection with the Quarterly Report on Form 10-Q of Louisiana-Pacific Corporation (the “Company”) for the quarter ended September 30, 2026, as filed with the Securities and Exchange Commission on the date hereof (the “Report”), each of the undersigned officers of the Company certifies, that, to such officer’s knowledge:</w:t>
      </w:r>
    </w:p>
    <w:p>
      <w:pPr>
        <w:spacing w:after="0" w:line="14" w:lineRule="exact"/>
        <w:rPr>
          <w:sz w:val="20"/>
          <w:szCs w:val="20"/>
          <w:color w:val="auto"/>
        </w:rPr>
      </w:pPr>
    </w:p>
    <w:p>
      <w:pPr>
        <w:ind w:left="980" w:hanging="567"/>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63" w:lineRule="exact"/>
        <w:rPr>
          <w:rFonts w:ascii="Times New Roman" w:cs="Times New Roman" w:eastAsia="Times New Roman" w:hAnsi="Times New Roman"/>
          <w:sz w:val="18"/>
          <w:szCs w:val="18"/>
          <w:color w:val="auto"/>
        </w:rPr>
      </w:pPr>
    </w:p>
    <w:p>
      <w:pPr>
        <w:ind w:left="980" w:hanging="567"/>
        <w:spacing w:after="0" w:line="282" w:lineRule="auto"/>
        <w:tabs>
          <w:tab w:leader="none" w:pos="9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1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Jason P. Ringblom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Jason P. Ringblom</w:t>
      </w:r>
    </w:p>
    <w:p>
      <w:pPr>
        <w:ind w:left="58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Aaron Howald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Aaron Howald</w:t>
      </w:r>
    </w:p>
    <w:p>
      <w:pPr>
        <w:spacing w:after="0" w:line="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1)"/>
      <w:numFmt w:val="decimal"/>
      <w:start w:val="2"/>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5"/>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2026-11-03T14:48:04Z</dcterms:created>
  <dcterms:modified xsi:type="dcterms:W3CDTF">2026-11-03T14:48:04Z</dcterms:modified>
</cp:coreProperties>
</file>